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5E51" w:rsidRPr="00F20935" w:rsidP="00F20935" w14:paraId="13856D15" w14:textId="77777777">
      <w:pPr>
        <w:ind w:firstLine="1701"/>
        <w:rPr>
          <w:rFonts w:ascii="Arial" w:hAnsi="Arial" w:cs="Arial"/>
        </w:rPr>
      </w:pPr>
    </w:p>
    <w:p w:rsidR="00F20935" w:rsidP="00F20935" w14:paraId="338A43BD" w14:textId="77777777">
      <w:pPr>
        <w:ind w:firstLine="1701"/>
        <w:jc w:val="center"/>
        <w:rPr>
          <w:rFonts w:ascii="Arial" w:hAnsi="Arial" w:cs="Arial"/>
          <w:b/>
          <w:bCs/>
        </w:rPr>
      </w:pPr>
    </w:p>
    <w:p w:rsidR="00785E51" w:rsidRPr="00F20935" w:rsidP="00F20935" w14:paraId="70D17829" w14:textId="120060B2">
      <w:pPr>
        <w:ind w:firstLine="1701"/>
        <w:jc w:val="center"/>
        <w:rPr>
          <w:rFonts w:ascii="Arial" w:hAnsi="Arial" w:cs="Arial"/>
          <w:b/>
          <w:bCs/>
        </w:rPr>
      </w:pPr>
      <w:r w:rsidRPr="00F20935">
        <w:rPr>
          <w:rFonts w:ascii="Arial" w:hAnsi="Arial" w:cs="Arial"/>
          <w:b/>
          <w:bCs/>
        </w:rPr>
        <w:t xml:space="preserve">PROJETO DE LEI Nº </w:t>
      </w:r>
      <w:r w:rsidRPr="00F20935" w:rsidR="00F20935">
        <w:rPr>
          <w:rFonts w:ascii="Arial" w:hAnsi="Arial" w:cs="Arial"/>
          <w:b/>
          <w:bCs/>
        </w:rPr>
        <w:t>020,</w:t>
      </w:r>
      <w:r w:rsidRPr="00F20935">
        <w:rPr>
          <w:rFonts w:ascii="Arial" w:hAnsi="Arial" w:cs="Arial"/>
          <w:b/>
          <w:bCs/>
        </w:rPr>
        <w:t xml:space="preserve"> DE</w:t>
      </w:r>
      <w:r w:rsidRPr="00F20935" w:rsidR="00E65273">
        <w:rPr>
          <w:rFonts w:ascii="Arial" w:hAnsi="Arial" w:cs="Arial"/>
          <w:b/>
          <w:bCs/>
        </w:rPr>
        <w:t xml:space="preserve"> 28</w:t>
      </w:r>
      <w:r w:rsidRPr="00F20935">
        <w:rPr>
          <w:rFonts w:ascii="Arial" w:hAnsi="Arial" w:cs="Arial"/>
          <w:b/>
          <w:bCs/>
        </w:rPr>
        <w:t xml:space="preserve"> DE</w:t>
      </w:r>
      <w:r w:rsidRPr="00F20935" w:rsidR="00E65273">
        <w:rPr>
          <w:rFonts w:ascii="Arial" w:hAnsi="Arial" w:cs="Arial"/>
          <w:b/>
          <w:bCs/>
        </w:rPr>
        <w:t xml:space="preserve"> MAIO</w:t>
      </w:r>
      <w:r w:rsidRPr="00F20935">
        <w:rPr>
          <w:rFonts w:ascii="Arial" w:hAnsi="Arial" w:cs="Arial"/>
          <w:b/>
          <w:bCs/>
        </w:rPr>
        <w:t xml:space="preserve"> DE 2026</w:t>
      </w:r>
    </w:p>
    <w:p w:rsidR="00785E51" w:rsidRPr="00F20935" w:rsidP="00F20935" w14:paraId="09AF2F83" w14:textId="77777777">
      <w:pPr>
        <w:ind w:firstLine="1701"/>
        <w:rPr>
          <w:rFonts w:ascii="Arial" w:hAnsi="Arial" w:cs="Arial"/>
        </w:rPr>
      </w:pPr>
    </w:p>
    <w:p w:rsidR="00785E51" w:rsidRPr="00F20935" w:rsidP="00F20935" w14:paraId="0F940719" w14:textId="6353E216">
      <w:pPr>
        <w:ind w:left="269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F20935">
        <w:rPr>
          <w:rFonts w:ascii="Arial" w:hAnsi="Arial" w:cs="Arial"/>
          <w:b/>
          <w:bCs/>
        </w:rPr>
        <w:t xml:space="preserve">Dispõe sobre a transparência </w:t>
      </w:r>
      <w:r w:rsidRPr="00F20935" w:rsidR="00AF7CB0">
        <w:rPr>
          <w:rFonts w:ascii="Arial" w:hAnsi="Arial" w:cs="Arial"/>
          <w:b/>
          <w:bCs/>
        </w:rPr>
        <w:t xml:space="preserve">e rastreabilidade </w:t>
      </w:r>
      <w:r w:rsidRPr="00F20935">
        <w:rPr>
          <w:rFonts w:ascii="Arial" w:hAnsi="Arial" w:cs="Arial"/>
          <w:b/>
          <w:bCs/>
        </w:rPr>
        <w:t>das emendas individuais impositivas no âmbito do Município de Holambra e dá outras providências</w:t>
      </w:r>
      <w:r>
        <w:rPr>
          <w:rFonts w:ascii="Arial" w:hAnsi="Arial" w:cs="Arial"/>
          <w:b/>
          <w:bCs/>
        </w:rPr>
        <w:t>”</w:t>
      </w:r>
      <w:r w:rsidRPr="00F20935">
        <w:rPr>
          <w:rFonts w:ascii="Arial" w:hAnsi="Arial" w:cs="Arial"/>
          <w:b/>
          <w:bCs/>
        </w:rPr>
        <w:t>.</w:t>
      </w:r>
    </w:p>
    <w:p w:rsidR="00785E51" w:rsidRPr="00F20935" w:rsidP="00F20935" w14:paraId="2FE96130" w14:textId="77777777">
      <w:pPr>
        <w:ind w:firstLine="1701"/>
        <w:rPr>
          <w:rFonts w:ascii="Arial" w:hAnsi="Arial" w:cs="Arial"/>
        </w:rPr>
      </w:pPr>
    </w:p>
    <w:p w:rsidR="00785E51" w:rsidRPr="00F20935" w:rsidP="00F20935" w14:paraId="3CE0FFE2" w14:textId="7703F604">
      <w:pPr>
        <w:ind w:left="-426" w:firstLine="1701"/>
        <w:rPr>
          <w:rFonts w:ascii="Arial" w:hAnsi="Arial" w:cs="Arial"/>
        </w:rPr>
      </w:pPr>
      <w:r w:rsidRPr="00F20935">
        <w:rPr>
          <w:rFonts w:ascii="Arial" w:hAnsi="Arial" w:cs="Arial"/>
        </w:rPr>
        <w:t xml:space="preserve">A CÂMARA MUNICIPAL DE HOLAMBRA </w:t>
      </w:r>
      <w:r w:rsidRPr="00F20935" w:rsidR="00E65273">
        <w:rPr>
          <w:rFonts w:ascii="Arial" w:hAnsi="Arial" w:cs="Arial"/>
        </w:rPr>
        <w:t>APROVA</w:t>
      </w:r>
      <w:r w:rsidRPr="00F20935">
        <w:rPr>
          <w:rFonts w:ascii="Arial" w:hAnsi="Arial" w:cs="Arial"/>
        </w:rPr>
        <w:t>:</w:t>
      </w:r>
    </w:p>
    <w:p w:rsidR="00785E51" w:rsidRPr="00F20935" w:rsidP="00F20935" w14:paraId="1EC5449D" w14:textId="1F1E53B1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1º</w:t>
      </w:r>
      <w:r w:rsidRPr="00F20935">
        <w:rPr>
          <w:rFonts w:ascii="Arial" w:hAnsi="Arial" w:cs="Arial"/>
        </w:rPr>
        <w:t xml:space="preserve"> O Município assegurará a transparênci</w:t>
      </w:r>
      <w:r w:rsidRPr="00F20935" w:rsidR="00AF7CB0">
        <w:rPr>
          <w:rFonts w:ascii="Arial" w:hAnsi="Arial" w:cs="Arial"/>
        </w:rPr>
        <w:t>a ativa integral em meio eletrônico</w:t>
      </w:r>
      <w:r w:rsidRPr="00F20935">
        <w:rPr>
          <w:rFonts w:ascii="Arial" w:hAnsi="Arial" w:cs="Arial"/>
        </w:rPr>
        <w:t xml:space="preserve"> das emendas individuais impositivas apresentadas pelos Vereadores às leis orçamentárias municipais, mediante divulgação em sítio eletrônico oficial, em seção de fácil acesso</w:t>
      </w:r>
      <w:r w:rsidRPr="00F20935" w:rsidR="00AF7CB0">
        <w:rPr>
          <w:rFonts w:ascii="Arial" w:hAnsi="Arial" w:cs="Arial"/>
        </w:rPr>
        <w:t xml:space="preserve">, permitindo rastreabilidade ponta a ponta da aplicação dos recursos. </w:t>
      </w:r>
    </w:p>
    <w:p w:rsidR="00785E51" w:rsidRPr="00F20935" w:rsidP="00F20935" w14:paraId="3F4B196C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2º</w:t>
      </w:r>
      <w:r w:rsidRPr="00F20935">
        <w:rPr>
          <w:rFonts w:ascii="Arial" w:hAnsi="Arial" w:cs="Arial"/>
        </w:rPr>
        <w:t xml:space="preserve"> A divulgação de que trata esta Lei contemplará, sempre que disponíveis, para cada emenda:</w:t>
      </w:r>
    </w:p>
    <w:p w:rsidR="00785E51" w:rsidRPr="00F20935" w:rsidP="00F20935" w14:paraId="4BC954D1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 – identificação do autor;</w:t>
      </w:r>
    </w:p>
    <w:p w:rsidR="00785E51" w:rsidRPr="00F20935" w:rsidP="00F20935" w14:paraId="4FC148CA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II – exercício financeiro de referência;</w:t>
      </w:r>
    </w:p>
    <w:p w:rsidR="00785E51" w:rsidRPr="00F20935" w:rsidP="00F20935" w14:paraId="620423BC" w14:textId="3F93BD82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III – unidade orçamentária ou entidade beneficiária ;</w:t>
      </w:r>
    </w:p>
    <w:p w:rsidR="00785E51" w:rsidRPr="00F20935" w:rsidP="00F20935" w14:paraId="54ED7DDE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IV – objeto da emenda;</w:t>
      </w:r>
    </w:p>
    <w:p w:rsidR="00785E51" w:rsidRPr="00F20935" w:rsidP="00F20935" w14:paraId="44FCEC71" w14:textId="663324EC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V – plano de trabalho, quando cabível;</w:t>
      </w:r>
    </w:p>
    <w:p w:rsidR="00785E51" w:rsidRPr="00F20935" w:rsidP="00F20935" w14:paraId="5C15C179" w14:textId="531C6CD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VI – valor aprovado;</w:t>
      </w:r>
    </w:p>
    <w:p w:rsidR="00785E51" w:rsidRPr="00F20935" w:rsidP="00F20935" w14:paraId="6C624335" w14:textId="04885EA8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VII – valores correspondentes às fases da despesa;</w:t>
      </w:r>
    </w:p>
    <w:p w:rsidR="00785E51" w:rsidRPr="00F20935" w:rsidP="00F20935" w14:paraId="0EB1593A" w14:textId="7EA411BE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VIII – situação da execução;</w:t>
      </w:r>
    </w:p>
    <w:p w:rsidR="00785E51" w:rsidRPr="00F20935" w:rsidP="00F20935" w14:paraId="28774D38" w14:textId="6A20324F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IX – local de execução, quando cabível;</w:t>
      </w:r>
    </w:p>
    <w:p w:rsidR="00785E51" w:rsidRPr="00F20935" w:rsidP="00F20935" w14:paraId="1C60D630" w14:textId="7036FDE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X – prazos estimados e estágio de cumprimento;</w:t>
      </w:r>
    </w:p>
    <w:p w:rsidR="00785E51" w:rsidRPr="00F20935" w:rsidP="00F20935" w14:paraId="10E607C4" w14:textId="08B774C4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XI – eventuais impedimentos ou justificativas quanto à não execução.</w:t>
      </w:r>
    </w:p>
    <w:p w:rsidR="00785E51" w:rsidRPr="00F20935" w:rsidP="00F20935" w14:paraId="63C49DAD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3º</w:t>
      </w:r>
      <w:r w:rsidRPr="00F20935">
        <w:rPr>
          <w:rFonts w:ascii="Arial" w:hAnsi="Arial" w:cs="Arial"/>
        </w:rPr>
        <w:t xml:space="preserve"> As informações serão atualizadas periodicamente, observados critérios de razoabilidade, proporcionalidade e capacidade operacional da Administração.</w:t>
      </w:r>
    </w:p>
    <w:p w:rsidR="00785E51" w:rsidRPr="00F20935" w:rsidP="00F20935" w14:paraId="6A64294F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4º</w:t>
      </w:r>
      <w:r w:rsidRPr="00F20935">
        <w:rPr>
          <w:rFonts w:ascii="Arial" w:hAnsi="Arial" w:cs="Arial"/>
        </w:rPr>
        <w:t xml:space="preserve"> A disponibilização das informações observará, sempre que possível:</w:t>
      </w:r>
    </w:p>
    <w:p w:rsidR="00F20935" w:rsidP="00F20935" w14:paraId="1ACB57E5" w14:textId="77777777">
      <w:pPr>
        <w:ind w:left="-426" w:firstLine="1701"/>
        <w:jc w:val="both"/>
        <w:rPr>
          <w:rFonts w:ascii="Arial" w:hAnsi="Arial" w:cs="Arial"/>
        </w:rPr>
      </w:pPr>
    </w:p>
    <w:p w:rsidR="00F20935" w:rsidP="00F20935" w14:paraId="08A989CE" w14:textId="77777777">
      <w:pPr>
        <w:ind w:left="-426" w:firstLine="1701"/>
        <w:jc w:val="both"/>
        <w:rPr>
          <w:rFonts w:ascii="Arial" w:hAnsi="Arial" w:cs="Arial"/>
        </w:rPr>
      </w:pPr>
    </w:p>
    <w:p w:rsidR="00785E51" w:rsidRPr="00F20935" w:rsidP="00F20935" w14:paraId="6FCB1886" w14:textId="05F7A60A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 xml:space="preserve">I – </w:t>
      </w:r>
      <w:r w:rsidRPr="00F20935">
        <w:rPr>
          <w:rFonts w:ascii="Arial" w:hAnsi="Arial" w:cs="Arial"/>
        </w:rPr>
        <w:t>formato</w:t>
      </w:r>
      <w:r w:rsidRPr="00F20935">
        <w:rPr>
          <w:rFonts w:ascii="Arial" w:hAnsi="Arial" w:cs="Arial"/>
        </w:rPr>
        <w:t xml:space="preserve"> que favoreça a consulta pública e o acesso facilitado;</w:t>
      </w:r>
    </w:p>
    <w:p w:rsidR="00785E51" w:rsidRPr="00F20935" w:rsidP="00F20935" w14:paraId="39EA8463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II – utilização de linguagem clara e compreensível;</w:t>
      </w:r>
    </w:p>
    <w:p w:rsidR="00785E51" w:rsidRPr="00F20935" w:rsidP="00F20935" w14:paraId="08E1EDE3" w14:textId="7B424F56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III – requisitos de acessibilidade.</w:t>
      </w:r>
    </w:p>
    <w:p w:rsidR="00785E51" w:rsidRPr="00F20935" w:rsidP="00F20935" w14:paraId="5E6FD07D" w14:textId="6A56514F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5º</w:t>
      </w:r>
      <w:r w:rsidRPr="00F20935">
        <w:rPr>
          <w:rFonts w:ascii="Arial" w:hAnsi="Arial" w:cs="Arial"/>
        </w:rPr>
        <w:t xml:space="preserve"> A implementação desta Lei observará a organização administrativa do Poder Executivo</w:t>
      </w:r>
      <w:r w:rsidRPr="00F20935" w:rsidR="00231DA6">
        <w:rPr>
          <w:rFonts w:ascii="Arial" w:hAnsi="Arial" w:cs="Arial"/>
        </w:rPr>
        <w:t xml:space="preserve"> e Poder Legislativo</w:t>
      </w:r>
      <w:r w:rsidRPr="00F20935">
        <w:rPr>
          <w:rFonts w:ascii="Arial" w:hAnsi="Arial" w:cs="Arial"/>
        </w:rPr>
        <w:t xml:space="preserve">, </w:t>
      </w:r>
      <w:r w:rsidRPr="00F20935" w:rsidR="00231DA6">
        <w:rPr>
          <w:rFonts w:ascii="Arial" w:hAnsi="Arial" w:cs="Arial"/>
        </w:rPr>
        <w:t xml:space="preserve">cabendo a cada um disciplinar, </w:t>
      </w:r>
      <w:r w:rsidRPr="00F20935">
        <w:rPr>
          <w:rFonts w:ascii="Arial" w:hAnsi="Arial" w:cs="Arial"/>
        </w:rPr>
        <w:t>no âmbito de sua competência, os aspectos operacionais necessários ao seu cumprimento.</w:t>
      </w:r>
    </w:p>
    <w:p w:rsidR="00785E51" w:rsidRPr="00F20935" w:rsidP="00F20935" w14:paraId="029E4001" w14:textId="4569AE12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6º</w:t>
      </w:r>
      <w:r w:rsidRPr="00F20935">
        <w:rPr>
          <w:rFonts w:ascii="Arial" w:hAnsi="Arial" w:cs="Arial"/>
        </w:rPr>
        <w:t xml:space="preserve"> As despesas decorrentes da execução desta Lei correrão por conta de dotações orçamentárias próprias, suplementadas se necessárias.</w:t>
      </w:r>
    </w:p>
    <w:p w:rsidR="00785E51" w:rsidRPr="00F20935" w:rsidP="00F20935" w14:paraId="0C0A0BC2" w14:textId="77777777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  <w:b/>
          <w:bCs/>
        </w:rPr>
        <w:t>Art. 7º</w:t>
      </w:r>
      <w:r w:rsidRPr="00F20935">
        <w:rPr>
          <w:rFonts w:ascii="Arial" w:hAnsi="Arial" w:cs="Arial"/>
        </w:rPr>
        <w:t xml:space="preserve"> Esta Lei entra em vigor após decorridos 90 (noventa) dias de sua publicação.</w:t>
      </w:r>
    </w:p>
    <w:p w:rsidR="00785E51" w:rsidRPr="00F20935" w:rsidP="00F20935" w14:paraId="15241E7C" w14:textId="56CD0331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 xml:space="preserve">Plenário Vereador Aparício de Almeida, aos </w:t>
      </w:r>
      <w:r w:rsidRPr="00F20935" w:rsidR="00E65273">
        <w:rPr>
          <w:rFonts w:ascii="Arial" w:hAnsi="Arial" w:cs="Arial"/>
        </w:rPr>
        <w:t>28</w:t>
      </w:r>
      <w:r w:rsidRPr="00F20935" w:rsidR="00231DA6">
        <w:rPr>
          <w:rFonts w:ascii="Arial" w:hAnsi="Arial" w:cs="Arial"/>
        </w:rPr>
        <w:t xml:space="preserve"> </w:t>
      </w:r>
      <w:r w:rsidRPr="00F20935">
        <w:rPr>
          <w:rFonts w:ascii="Arial" w:hAnsi="Arial" w:cs="Arial"/>
        </w:rPr>
        <w:t>de</w:t>
      </w:r>
      <w:r w:rsidRPr="00F20935" w:rsidR="00E65273">
        <w:rPr>
          <w:rFonts w:ascii="Arial" w:hAnsi="Arial" w:cs="Arial"/>
        </w:rPr>
        <w:t xml:space="preserve"> maio </w:t>
      </w:r>
      <w:r w:rsidRPr="00F20935">
        <w:rPr>
          <w:rFonts w:ascii="Arial" w:hAnsi="Arial" w:cs="Arial"/>
        </w:rPr>
        <w:t>de 2026</w:t>
      </w:r>
    </w:p>
    <w:p w:rsidR="00785E51" w:rsidRPr="00F20935" w:rsidP="00F20935" w14:paraId="45919B89" w14:textId="77777777">
      <w:pPr>
        <w:ind w:left="-426" w:firstLine="1701"/>
        <w:jc w:val="both"/>
        <w:rPr>
          <w:rFonts w:ascii="Arial" w:hAnsi="Arial" w:cs="Arial"/>
        </w:rPr>
      </w:pPr>
    </w:p>
    <w:p w:rsidR="00785E51" w:rsidRPr="00F20935" w:rsidP="00F20935" w14:paraId="2C4CDACA" w14:textId="5A516CEA">
      <w:pPr>
        <w:spacing w:after="0"/>
        <w:ind w:left="-426" w:firstLine="1701"/>
        <w:jc w:val="center"/>
        <w:rPr>
          <w:rFonts w:ascii="Arial" w:hAnsi="Arial" w:cs="Arial"/>
          <w:b/>
          <w:bCs/>
        </w:rPr>
      </w:pPr>
      <w:r w:rsidRPr="00F20935">
        <w:rPr>
          <w:rFonts w:ascii="Arial" w:hAnsi="Arial" w:cs="Arial"/>
          <w:b/>
          <w:bCs/>
        </w:rPr>
        <w:t>Aparecido Lopes da Silva Lima</w:t>
      </w:r>
    </w:p>
    <w:p w:rsidR="00785E51" w:rsidRPr="00F20935" w:rsidP="00F20935" w14:paraId="3293A929" w14:textId="793B748C">
      <w:pPr>
        <w:spacing w:after="0"/>
        <w:ind w:left="-426" w:firstLine="1701"/>
        <w:jc w:val="center"/>
        <w:rPr>
          <w:rFonts w:ascii="Arial" w:hAnsi="Arial" w:cs="Arial"/>
          <w:b/>
          <w:bCs/>
        </w:rPr>
      </w:pPr>
      <w:r w:rsidRPr="00F20935">
        <w:rPr>
          <w:rFonts w:ascii="Arial" w:hAnsi="Arial" w:cs="Arial"/>
          <w:b/>
          <w:bCs/>
        </w:rPr>
        <w:t>Vereador/Presidente</w:t>
      </w:r>
    </w:p>
    <w:p w:rsidR="00785E51" w:rsidRPr="00F20935" w:rsidP="00F20935" w14:paraId="5BAD7689" w14:textId="77777777">
      <w:pPr>
        <w:ind w:left="-426" w:firstLine="1701"/>
        <w:jc w:val="both"/>
        <w:rPr>
          <w:rFonts w:ascii="Arial" w:hAnsi="Arial" w:cs="Arial"/>
          <w:b/>
          <w:bCs/>
        </w:rPr>
      </w:pPr>
    </w:p>
    <w:p w:rsidR="00785E51" w:rsidRPr="00F20935" w:rsidP="00F20935" w14:paraId="03AEAAAC" w14:textId="0F4647D6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Justificativa</w:t>
      </w:r>
    </w:p>
    <w:p w:rsidR="00785E51" w:rsidRPr="00F20935" w:rsidP="00F20935" w14:paraId="68A1DDF2" w14:textId="02A6EAC3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O presente Projeto de Lei visa reforçar a transparência na execução das emendas</w:t>
      </w:r>
      <w:r w:rsidRPr="00F20935" w:rsidR="00E36B00">
        <w:rPr>
          <w:rFonts w:ascii="Arial" w:hAnsi="Arial" w:cs="Arial"/>
        </w:rPr>
        <w:t xml:space="preserve"> individuais</w:t>
      </w:r>
      <w:r w:rsidRPr="00F20935">
        <w:rPr>
          <w:rFonts w:ascii="Arial" w:hAnsi="Arial" w:cs="Arial"/>
        </w:rPr>
        <w:t xml:space="preserve"> impositivas, instrumento relevante de participação do Poder Legislativo na alocação de recursos públicos.</w:t>
      </w:r>
    </w:p>
    <w:p w:rsidR="00785E51" w:rsidRPr="00F20935" w:rsidP="00F20935" w14:paraId="24CC7897" w14:textId="0F02CC35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 xml:space="preserve">A proposta limita-se a estabelecer dever geral de publicidade, com indicação de conteúdo mínimo informacional, preservando </w:t>
      </w:r>
      <w:r w:rsidRPr="00F20935" w:rsidR="00231DA6">
        <w:rPr>
          <w:rFonts w:ascii="Arial" w:hAnsi="Arial" w:cs="Arial"/>
        </w:rPr>
        <w:t xml:space="preserve">a cada um dos Poderes, Executivo e Legislativo, </w:t>
      </w:r>
      <w:r w:rsidRPr="00F20935">
        <w:rPr>
          <w:rFonts w:ascii="Arial" w:hAnsi="Arial" w:cs="Arial"/>
        </w:rPr>
        <w:t xml:space="preserve"> a definição dos meios técnicos e operacionais para sua implementação.</w:t>
      </w:r>
    </w:p>
    <w:p w:rsidR="00785E51" w:rsidRPr="00F20935" w:rsidP="00F20935" w14:paraId="6ABCD0C4" w14:textId="53EF7599">
      <w:pPr>
        <w:ind w:left="-426"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Busca-se, assim, fortalecer o controle social, a fiscalização institucional e a eficiência na gestão pública, em consonância com os princípios constitucionais da publicidade e da transparência</w:t>
      </w:r>
      <w:r w:rsidRPr="00F20935" w:rsidR="00231DA6">
        <w:rPr>
          <w:rFonts w:ascii="Arial" w:hAnsi="Arial" w:cs="Arial"/>
        </w:rPr>
        <w:t>, e, ainda, cumprindo orientação do Tribunal de Contas do Estado de São Paulo, através do Comunicado GP 015/2026.</w:t>
      </w:r>
    </w:p>
    <w:p w:rsidR="00231DA6" w:rsidRPr="00F20935" w:rsidP="00F20935" w14:paraId="4337FB54" w14:textId="77777777">
      <w:pPr>
        <w:ind w:firstLine="1701"/>
        <w:jc w:val="both"/>
        <w:rPr>
          <w:rFonts w:ascii="Arial" w:hAnsi="Arial" w:cs="Arial"/>
        </w:rPr>
      </w:pPr>
    </w:p>
    <w:p w:rsidR="00231DA6" w:rsidRPr="00F20935" w:rsidP="00F20935" w14:paraId="188EEB01" w14:textId="54FBEC97">
      <w:pPr>
        <w:ind w:firstLine="1701"/>
        <w:jc w:val="both"/>
        <w:rPr>
          <w:rFonts w:ascii="Arial" w:hAnsi="Arial" w:cs="Arial"/>
        </w:rPr>
      </w:pPr>
      <w:r w:rsidRPr="00F20935">
        <w:rPr>
          <w:rFonts w:ascii="Arial" w:hAnsi="Arial" w:cs="Arial"/>
        </w:rPr>
        <w:t>Data supra,</w:t>
      </w:r>
    </w:p>
    <w:p w:rsidR="00E65273" w:rsidRPr="00F20935" w:rsidP="00F20935" w14:paraId="6B4198BF" w14:textId="77777777">
      <w:pPr>
        <w:spacing w:after="0"/>
        <w:ind w:firstLine="1701"/>
        <w:jc w:val="center"/>
        <w:rPr>
          <w:rFonts w:ascii="Arial" w:hAnsi="Arial" w:cs="Arial"/>
          <w:b/>
          <w:bCs/>
        </w:rPr>
      </w:pPr>
      <w:r w:rsidRPr="00F20935">
        <w:rPr>
          <w:rFonts w:ascii="Arial" w:hAnsi="Arial" w:cs="Arial"/>
          <w:b/>
          <w:bCs/>
        </w:rPr>
        <w:t>Aparecido Lopes da Silva Lima</w:t>
      </w:r>
    </w:p>
    <w:p w:rsidR="00E65273" w:rsidRPr="00F20935" w:rsidP="00F20935" w14:paraId="4E8DBDF7" w14:textId="77777777">
      <w:pPr>
        <w:spacing w:after="0"/>
        <w:ind w:firstLine="1701"/>
        <w:jc w:val="center"/>
        <w:rPr>
          <w:rFonts w:ascii="Arial" w:hAnsi="Arial" w:cs="Arial"/>
          <w:b/>
          <w:bCs/>
        </w:rPr>
      </w:pPr>
      <w:r w:rsidRPr="00F20935">
        <w:rPr>
          <w:rFonts w:ascii="Arial" w:hAnsi="Arial" w:cs="Arial"/>
          <w:b/>
          <w:bCs/>
        </w:rPr>
        <w:t>Vereador/Presidente</w:t>
      </w:r>
    </w:p>
    <w:p w:rsidR="00E65273" w:rsidRPr="00F20935" w:rsidP="00F20935" w14:paraId="0817C65B" w14:textId="77777777">
      <w:pPr>
        <w:ind w:firstLine="1701"/>
        <w:jc w:val="both"/>
        <w:rPr>
          <w:rFonts w:ascii="Arial" w:hAnsi="Arial" w:cs="Arial"/>
        </w:rPr>
      </w:pPr>
    </w:p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719179"/>
      <w:docPartObj>
        <w:docPartGallery w:val="Page Numbers (Bottom of Page)"/>
        <w:docPartUnique/>
      </w:docPartObj>
    </w:sdtPr>
    <w:sdtContent>
      <w:p w:rsidR="00F20935" w14:paraId="3069A970" w14:textId="732220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0935" w14:paraId="2B5F801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51"/>
    <w:rsid w:val="001F7029"/>
    <w:rsid w:val="00231DA6"/>
    <w:rsid w:val="00270BE0"/>
    <w:rsid w:val="005C5781"/>
    <w:rsid w:val="005D4E24"/>
    <w:rsid w:val="005E03E6"/>
    <w:rsid w:val="00632780"/>
    <w:rsid w:val="00785E51"/>
    <w:rsid w:val="00AF7CB0"/>
    <w:rsid w:val="00E36B00"/>
    <w:rsid w:val="00E65273"/>
    <w:rsid w:val="00F20935"/>
    <w:rsid w:val="00F36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787DD-DD38-43EA-9629-6BA3CA0A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8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85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8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85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85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85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85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85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85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8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85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85E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85E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85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85E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85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85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8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8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8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85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85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85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E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20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0935"/>
  </w:style>
  <w:style w:type="paragraph" w:styleId="Footer">
    <w:name w:val="footer"/>
    <w:basedOn w:val="Normal"/>
    <w:link w:val="RodapChar"/>
    <w:uiPriority w:val="99"/>
    <w:unhideWhenUsed/>
    <w:rsid w:val="00F20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2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cp:lastPrinted>2026-05-08T12:51:00Z</cp:lastPrinted>
  <dcterms:created xsi:type="dcterms:W3CDTF">2026-05-28T14:17:00Z</dcterms:created>
  <dcterms:modified xsi:type="dcterms:W3CDTF">2026-05-28T14:41:00Z</dcterms:modified>
</cp:coreProperties>
</file>