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="2040" w:firstLineChars="850"/>
        <w:jc w:val="both"/>
        <w:rPr>
          <w:rFonts w:ascii="Times New Roman" w:eastAsia="Microsoft JhengHei" w:hAnsi="Times New Roman" w:cs="Times New Roman" w:hint="default"/>
          <w:b/>
          <w:bCs/>
          <w:i w:val="0"/>
          <w:iCs w:val="0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PROJETO DE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LEI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 COMPLEMENTAR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N.º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______/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20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26</w:t>
      </w:r>
      <w:r>
        <w:rPr>
          <w:rFonts w:ascii="Times New Roman" w:hAnsi="Times New Roman" w:cs="Times New Roman" w:hint="default"/>
          <w:b/>
          <w:sz w:val="24"/>
          <w:szCs w:val="24"/>
          <w:u w:val="single"/>
        </w:rPr>
        <w:t xml:space="preserve"> </w:t>
      </w:r>
    </w:p>
    <w:p>
      <w:pPr>
        <w:ind w:left="4400" w:firstLine="0" w:leftChars="2000" w:firstLineChars="0"/>
        <w:jc w:val="both"/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</w:pPr>
    </w:p>
    <w:p>
      <w:pPr>
        <w:ind w:left="4400" w:firstLine="0" w:leftChars="2000" w:firstLineChars="0"/>
        <w:jc w:val="both"/>
        <w:rPr>
          <w:rFonts w:ascii="Times New Roman" w:eastAsia="Calibri" w:hAnsi="Times New Roman" w:cs="Times New Roman" w:hint="default"/>
          <w:b w:val="0"/>
          <w:bCs/>
          <w:i w:val="0"/>
          <w:iCs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Dispõe sobre a criação 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 w:hint="default"/>
          <w:b/>
          <w:sz w:val="24"/>
          <w:szCs w:val="24"/>
        </w:rPr>
        <w:t>extinção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b/>
          <w:sz w:val="24"/>
          <w:szCs w:val="24"/>
        </w:rPr>
        <w:t>de cargo público em comissão que destaca, integrante do Anexo II da Lei Complementar nº 001/1993; e dá outras providências</w:t>
      </w:r>
      <w:r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  <w:t>”</w:t>
      </w:r>
      <w:r>
        <w:rPr>
          <w:rFonts w:ascii="Times New Roman" w:eastAsia="Times New Roman" w:hAnsi="Times New Roman" w:cs="Times New Roman" w:hint="default"/>
          <w:b/>
          <w:bCs w:val="0"/>
          <w:i w:val="0"/>
          <w:iCs/>
          <w:sz w:val="24"/>
          <w:szCs w:val="24"/>
          <w:lang w:val="pt"/>
        </w:rPr>
        <w:t>.</w:t>
      </w:r>
    </w:p>
    <w:p>
      <w:pPr>
        <w:ind w:left="0" w:firstLine="960" w:leftChars="0" w:firstLineChars="400"/>
        <w:jc w:val="both"/>
        <w:rPr>
          <w:rFonts w:ascii="Times New Roman" w:eastAsia="Calibri" w:hAnsi="Times New Roman" w:cs="Times New Roman" w:hint="default"/>
          <w:b w:val="0"/>
          <w:bCs/>
          <w:i w:val="0"/>
          <w:iCs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 w:cs="Times New Roman" w:hint="default"/>
          <w:b/>
          <w:sz w:val="24"/>
          <w:szCs w:val="24"/>
        </w:rPr>
        <w:t>FERNANDO HENRIQUE CAPATO</w:t>
      </w:r>
      <w:r>
        <w:rPr>
          <w:rFonts w:ascii="Times New Roman" w:hAnsi="Times New Roman" w:cs="Times New Roman" w:hint="default"/>
          <w:sz w:val="24"/>
          <w:szCs w:val="24"/>
        </w:rPr>
        <w:t>, PREFEITO MUNICIPAL, SANCIONO E PROMULGO A SEGUINTE LEI COMPLEMENTAR</w:t>
      </w:r>
      <w:r>
        <w:rPr>
          <w:rFonts w:ascii="Times New Roman" w:eastAsia="Times New Roman" w:hAnsi="Times New Roman" w:cs="Times New Roman" w:hint="default"/>
          <w:b w:val="0"/>
          <w:bCs/>
          <w:i w:val="0"/>
          <w:iCs/>
          <w:sz w:val="24"/>
          <w:szCs w:val="24"/>
          <w:lang w:val="pt"/>
        </w:rPr>
        <w:t>: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 w:hint="default"/>
          <w:sz w:val="24"/>
          <w:szCs w:val="24"/>
        </w:rPr>
        <w:t xml:space="preserve"> - Ficam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criados</w:t>
      </w:r>
      <w:r>
        <w:rPr>
          <w:rFonts w:ascii="Times New Roman" w:hAnsi="Times New Roman" w:cs="Times New Roman" w:hint="default"/>
          <w:sz w:val="24"/>
          <w:szCs w:val="24"/>
        </w:rPr>
        <w:t xml:space="preserve"> os seguintes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cargos em comissão</w:t>
      </w:r>
      <w:r>
        <w:rPr>
          <w:rFonts w:ascii="Times New Roman" w:hAnsi="Times New Roman" w:cs="Times New Roman" w:hint="default"/>
          <w:sz w:val="24"/>
          <w:szCs w:val="24"/>
        </w:rPr>
        <w:t xml:space="preserve"> no Quadro de Servidores Municipais, passando a integrar o Anexo II da LC n.º 001/93, o qual é parte integrante da presente Lei, conforme quadro abaixo: </w:t>
      </w: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ANEXO II</w:t>
      </w: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Cargos em Comissão</w:t>
      </w: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leNormal"/>
        <w:tblW w:w="9371" w:type="dxa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0"/>
        <w:gridCol w:w="6426"/>
        <w:gridCol w:w="1985"/>
      </w:tblGrid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6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REFERÊNCIA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DIRETOR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27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ASSESSOR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ASSESSOR</w:t>
            </w:r>
            <w:r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  <w:lang w:val="pt-BR"/>
              </w:rPr>
              <w:t xml:space="preserve"> DE TRANSPORTE E SEGURANÇA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13</w:t>
            </w:r>
          </w:p>
        </w:tc>
      </w:tr>
    </w:tbl>
    <w:p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after="0" w:line="360" w:lineRule="auto"/>
        <w:ind w:firstLine="1134"/>
        <w:jc w:val="both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2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º - </w:t>
      </w:r>
      <w:r>
        <w:rPr>
          <w:rFonts w:ascii="Times New Roman" w:hAnsi="Times New Roman" w:cs="Times New Roman" w:hint="default"/>
          <w:sz w:val="24"/>
          <w:szCs w:val="24"/>
        </w:rPr>
        <w:t xml:space="preserve">Ficam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extintos</w:t>
      </w:r>
      <w:r>
        <w:rPr>
          <w:rFonts w:ascii="Times New Roman" w:hAnsi="Times New Roman" w:cs="Times New Roman" w:hint="default"/>
          <w:sz w:val="24"/>
          <w:szCs w:val="24"/>
        </w:rPr>
        <w:t xml:space="preserve"> os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cargos em comissão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constantes </w:t>
      </w:r>
      <w:r>
        <w:rPr>
          <w:rFonts w:ascii="Times New Roman" w:hAnsi="Times New Roman" w:cs="Times New Roman" w:hint="default"/>
          <w:sz w:val="24"/>
          <w:szCs w:val="24"/>
        </w:rPr>
        <w:t xml:space="preserve">no Quadro de Servidores Municipais,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na forma do </w:t>
      </w:r>
      <w:r>
        <w:rPr>
          <w:rFonts w:ascii="Times New Roman" w:hAnsi="Times New Roman" w:cs="Times New Roman" w:hint="default"/>
          <w:sz w:val="24"/>
          <w:szCs w:val="24"/>
        </w:rPr>
        <w:t xml:space="preserve"> quadro abaixo: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</w:p>
    <w:p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leNormal"/>
        <w:tblW w:w="9371" w:type="dxa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0"/>
        <w:gridCol w:w="6710"/>
        <w:gridCol w:w="1701"/>
      </w:tblGrid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pt-BR"/>
              </w:rPr>
              <w:t>QTDE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CARGOS COMISSIONADO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SimSun" w:hAnsi="Calibri" w:cs="Calibri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REFERÊNCIA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ASSESSOR DE DEPARTAMENTO DE PLANEJAMENTO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CONTÁBIL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CONVENIO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LICITAÇÃO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OBRAS E D. URBANO E RURAL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PARQUES E JARDINS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PROJETOS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SERVIÇOS PÚBLICOS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DE TURISMO E 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DEPARTAMENTO DO MEIO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DIVISÃO DE ALMOXARIFADO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DIVISÃO DE COMPRAS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DIVISÃO DE 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DIVISAO DE DESENVOLVIMENTO URBANO E RURAL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DIVISÃO DE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DIVISAO DE LICITAÇAO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DIVISAO DE SERVIÇOS PÚBLICOS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DIVISAO DE TRÂNSITO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DIVISAO DE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EQUIPE DE ESPORTES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SERVIÇOS DE 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SERVIÇOS DE ENSINO FUNDAMENTAL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SERVIÇOS DE LIMPEZA PUBLICA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SERVIÇOS DE PESSOAL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CHEFE DE SERVIÇOS DE PROMOÇAO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COORDENADOR ADMINISTRATIVO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COORDENADOR DA NAOTT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COORDENADOR DE FINANÇAS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ATENDIMENTO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PESSOAL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PROJETOS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SERVIÇOS DE MANUTENÇÃO DE ESTRADAS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SERVIÇOS DE OFICINA MECÂNICA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SERVIÇOS DE PROTOCOLO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SERVIÇOS DE SERRALHERIA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DE TRANSPORTE DA SAUDE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DO SETOR DE CONTABILIDADE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ENCARREGADO DO SETOR DE LICITAÇÃO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Calibri" w:eastAsia="SimSun" w:hAnsi="Calibri" w:cs="Calibri" w:hint="default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>
      <w:pPr>
        <w:spacing w:after="0" w:line="360" w:lineRule="auto"/>
        <w:ind w:firstLine="1134"/>
        <w:jc w:val="both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</w:p>
    <w:p>
      <w:pPr>
        <w:spacing w:after="0" w:line="240" w:lineRule="auto"/>
        <w:ind w:firstLine="1134"/>
        <w:jc w:val="both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Parágrafo Único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-  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lang w:val="pt-BR"/>
        </w:rPr>
        <w:t xml:space="preserve">O Anexo II da Lei Complementar nº 001/93 passa a vigorar na forma do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A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nexo desta Lei.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</w:p>
    <w:p>
      <w:pPr>
        <w:spacing w:after="0" w:line="240" w:lineRule="auto"/>
        <w:ind w:firstLine="1134"/>
        <w:jc w:val="both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Art.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3º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- 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A descrição dos cargos comissionados constantes no art.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1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° passam a vigorar conforme descrições abaixo:</w:t>
      </w:r>
    </w:p>
    <w:p>
      <w:pPr>
        <w:spacing w:after="0" w:line="240" w:lineRule="auto"/>
        <w:jc w:val="both"/>
        <w:rPr>
          <w:rFonts w:ascii="Times New Roman" w:hAnsi="Times New Roman" w:cs="Times New Roman" w:hint="default"/>
          <w:color w:val="FF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color w:val="FF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auto"/>
          <w:sz w:val="24"/>
          <w:szCs w:val="24"/>
        </w:rPr>
        <w:t>CARGOS COMISSIONADOS</w:t>
      </w:r>
    </w:p>
    <w:p>
      <w:pPr>
        <w:spacing w:after="0" w:line="240" w:lineRule="auto"/>
        <w:jc w:val="center"/>
        <w:rPr>
          <w:rFonts w:ascii="Times New Roman" w:hAnsi="Times New Roman" w:cs="Times New Roman" w:hint="default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color w:val="FF0000"/>
          <w:sz w:val="24"/>
          <w:szCs w:val="24"/>
          <w:lang w:val="pt-BR"/>
        </w:rPr>
        <w:t xml:space="preserve"> </w:t>
      </w:r>
    </w:p>
    <w:p>
      <w:pPr>
        <w:jc w:val="center"/>
        <w:rPr>
          <w:rFonts w:ascii="Times New Roman" w:eastAsia="Times New Roman" w:hAnsi="Times New Roman" w:cs="Times New Roman" w:hint="default"/>
          <w:b/>
          <w:bCs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DIRETOR ADJUNTO</w:t>
      </w: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Descrição:</w:t>
      </w:r>
    </w:p>
    <w:p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eastAsia="Arial" w:hAnsi="Times New Roman" w:cs="Times New Roman" w:hint="default"/>
          <w:color w:val="000000"/>
          <w:sz w:val="24"/>
          <w:szCs w:val="24"/>
        </w:rPr>
      </w:pP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>Assessorar, direta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  <w:lang w:val="pt-BR"/>
        </w:rPr>
        <w:t>mente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, o 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  <w:lang w:val="pt-BR"/>
        </w:rPr>
        <w:t>Diretor de Departamento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 nas atividades relacionadas </w:t>
      </w:r>
      <w:r>
        <w:rPr>
          <w:rFonts w:ascii="Times New Roman" w:eastAsia="Arial" w:hAnsi="Times New Roman" w:cs="Times New Roman" w:hint="default"/>
          <w:bCs/>
          <w:color w:val="000000"/>
          <w:sz w:val="24"/>
          <w:szCs w:val="24"/>
        </w:rPr>
        <w:t>à formulação, coordenação, monitoramento e avaliação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 das políticas públicas constantes do plano de governo, com ênfase nas ações estratégicas e no planejamento político-governamental, promovendo o equilíbrio entre a atuação política e a gestão administrativa;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condução da gestão política, assegurando que as atividades de assessoramento reflitam as diretrizes de governança da autoridade nomeante, especialmenteno que se refere aos compromissos político-eleitorais assumidos perante a sociedade, em conformidade com o plano de governo apresentado à Justiça Eleitoral e com a legislação vigente, notadamente a orçamentária, financeira e programática; </w:t>
      </w:r>
    </w:p>
    <w:p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Assessorar na elaboração, acompanhamento e avaliação de planos, programas e projetos vinculados às políticas públicas do governo, inclusive aqueles decorrentes de compromissos firmados no período eleitoral, promovendo sua internalização e institucionalização no âmbito da Administração Pública, bem como </w:t>
      </w:r>
      <w:r>
        <w:rPr>
          <w:rFonts w:ascii="Times New Roman" w:eastAsia="Arial" w:hAnsi="Times New Roman" w:cs="Times New Roman" w:hint="default"/>
          <w:bCs/>
          <w:color w:val="000000"/>
          <w:sz w:val="24"/>
          <w:szCs w:val="24"/>
        </w:rPr>
        <w:t>subsidiando a avaliação da alocação de recursos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 necessários à sua execução;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análise de dados e na elaboração de cenários estratégicos, com base nas diretrizes políticas estabelecidas, visando à consecução dos objetivos e metas governamentais, observados os limites e parâmetros legais aplicáveis; </w:t>
      </w:r>
    </w:p>
    <w:p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Assessorar nas atividades governamentais, inclusive aquelas voltadas à gestão participativa, mediante a </w:t>
      </w:r>
      <w:r>
        <w:rPr>
          <w:rFonts w:ascii="Times New Roman" w:eastAsia="Arial" w:hAnsi="Times New Roman" w:cs="Times New Roman" w:hint="default"/>
          <w:bCs/>
          <w:color w:val="000000"/>
          <w:sz w:val="24"/>
          <w:szCs w:val="24"/>
        </w:rPr>
        <w:t>coordenação da elaboração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 de instrumentos de monitoramento e avaliação, com o objetivo de subsidiar análises de desempenho da gestão pública e promover maior eficiência e alinhamento às demandas da sociedade;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a autoridade nomeante no monitoramento e avaliação dos atos de governo, contribuindo para a definição de novas ações, reprogramações e ajustes de políticas públicas;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organização e gestão da agenda política do governo, inclusive no acompanhamento de eventos, reuniões, audiências e viagens institucionais, especialmente aquelas voltadas à captação de recursos, celebração de convênios, parcerias e articulações intergovernamentais;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Prestar assessoramento em conformidade com as diretrizes políticas estabelecidas, podendo subsidiar-se em dados técnicos, estudos e pareceres elaborados por órgãos da Administração Municipal ou por outras instituições oficiais, com vistas à proposição de ações e aperfeiçoamentos na gestão pública;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análise de processos administrativos e documentos oficiais, fornecendo subsídios técnicos e estratégicos à tomada de decisão, com foco na atuação político-institucional do governo;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organização de registros relacionados às reuniões estratégicas de governo, inclusive quando envolverem informações sensíveis ou de caráter confidencial, observadas as normas aplicáveis;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Representar a autoridade nomeante em compromissos institucionais e políticos, quando formalmente designado;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elaboração de atas e registros de reuniões estratégicas, garantindo a sistematização das informações e o acompanhamento da execução das decisões adotadas;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Participar de reuniões relacionadas à política de segurança pública municipal e defesa civil, inclusive quando envolverem informações estratégicas ou de caráter sigiloso; 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>Consolidar e encaminhar aos setores competentes os documentos e informações obtidos em reuniões e agendas realizadas junto a órgãos estaduais, federais, consórcios intermunicipais e demais instituições;</w:t>
      </w:r>
    </w:p>
    <w:p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hAnsi="Times New Roman" w:cs="Times New Roman" w:hint="default"/>
          <w:sz w:val="24"/>
          <w:szCs w:val="24"/>
        </w:rPr>
        <w:t>Exercer outras atribuições correlatas ao cargo, conforme determinação da autoridade nomeante, observadas as diretrizes da gestão municipal e a legislação vigente.</w:t>
      </w:r>
    </w:p>
    <w:p>
      <w:pPr>
        <w:spacing w:after="0" w:line="288" w:lineRule="auto"/>
        <w:ind w:left="720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Requisito: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Ensino Superior Completo</w:t>
      </w:r>
    </w:p>
    <w:p>
      <w:pPr>
        <w:spacing w:after="0" w:line="288" w:lineRule="auto"/>
        <w:outlineLvl w:val="2"/>
        <w:rPr>
          <w:rFonts w:ascii="Times New Roman" w:eastAsia="Times New Roman" w:hAnsi="Times New Roman" w:cs="Times New Roman" w:hint="default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eastAsia="pt-BR"/>
        </w:rPr>
        <w:t>Referência: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18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br/>
      </w: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bCs/>
          <w:sz w:val="24"/>
          <w:szCs w:val="24"/>
          <w:lang w:eastAsia="pt-BR"/>
        </w:rPr>
      </w:pP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bCs/>
          <w:sz w:val="24"/>
          <w:szCs w:val="24"/>
          <w:lang w:eastAsia="pt-BR"/>
        </w:rPr>
      </w:pPr>
    </w:p>
    <w:p>
      <w:pPr>
        <w:pStyle w:val="ListParagraph"/>
        <w:spacing w:after="0" w:line="288" w:lineRule="auto"/>
        <w:jc w:val="center"/>
        <w:outlineLvl w:val="2"/>
        <w:rPr>
          <w:rFonts w:ascii="Times New Roman" w:eastAsia="Times New Roman" w:hAnsi="Times New Roman" w:cs="Times New Roman" w:hint="default"/>
          <w:b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u w:val="none"/>
          <w:lang w:eastAsia="pt-BR"/>
        </w:rPr>
        <w:t>ASSESSOR I</w:t>
      </w: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Descrição: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e articular ações e políticas voltadas ao fortalecimento da Administração Municipal junto à comunidade, por meio da coleta, organização e sistematização de informações, subsidiando a autoridade nomeante na identificação de demandas regionais, proposição de soluções e tomada de decisões de natureza político-institucional;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Assessorar a </w:t>
      </w:r>
      <w:r>
        <w:rPr>
          <w:rFonts w:ascii="Times New Roman" w:eastAsia="Arial" w:hAnsi="Times New Roman" w:cs="Times New Roman" w:hint="default"/>
          <w:bCs/>
          <w:color w:val="000000"/>
          <w:sz w:val="24"/>
          <w:szCs w:val="24"/>
        </w:rPr>
        <w:t>implementação, o acompanhamento e a avaliação</w:t>
      </w:r>
      <w:r>
        <w:rPr>
          <w:rFonts w:ascii="Times New Roman" w:eastAsia="Arial" w:hAnsi="Times New Roman" w:cs="Times New Roman" w:hint="default"/>
          <w:color w:val="000000"/>
          <w:sz w:val="24"/>
          <w:szCs w:val="24"/>
        </w:rPr>
        <w:t xml:space="preserve"> de ações políticas do governo nas regiões e bairros do Município;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a autoridade nomeante na gestão do relacionamento entre os munícipes e os programas e políticas públicas implementados pela gestão;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Promover a apresentação de propostas e o encaminhamento de sugestões que contribuam para a efetivação das políticas públicas municipais, especialmente junto às comunidades, minorias e grupos com baixa representação nos canais institucionais;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a autoridade nomeante na identificação e valorização de atividades produtivas tradicionais do Município, mediante o levantamento de demandas para programas específicos de governo;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o relacionamento com comunidades rurais, cooperativas e demais organizações relevantes aos interesses da população;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a autoridade nomeante na interlocução com organizações da sociedade civil, promovendo a integração entre o governo municipal e o terceiro setor na execução de ações de interesse coletivo;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a autoridade política no relacionamento direto com a população, em especial junto a associações de bairro e entidades comunitárias, podendo representá-la nessas ocasiões, quando designado;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condução das demandas populares, sociais e sindicais, especialmente no que se refere à mediação e negociação de interesses, com foco no interesse público;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negociação e acompanhamento de compromissos assumidos junto às comunidades, em consonância com a agenda de prioridades da gestão;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 relação institucional com os Conselhos Municipais;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Coordenar o levantamento e a sistematização de informações e pesquisas de interesse da gestão municipal, organizando e difundindo informações relevantes;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Apoiar o planejamento e o acompanhamento das atividades de assessoramento político no âmbito das Diretorias Municipais;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no mapeamento de demandas e carências regionais, subsidiando a formulação e direcionamento de políticas públicas;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nas agendas oficiais da autoridade nomeante, quando autorizado, para garantir maior eficiência no atendimento das demandas institucionais;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Assessorar no acompanhamento de reuniões públicas e eventos relacionados a interesses coletivos e institucionais do Município;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>Assessorar no acompanhamento de sessões legislativas e audiências públicas, quando relacionadas a temas relevantes à condução da gestão política do governo municipal;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hAnsi="Times New Roman" w:cs="Times New Roman" w:hint="default"/>
          <w:sz w:val="24"/>
          <w:szCs w:val="24"/>
        </w:rPr>
        <w:t>Exercer outras atribuições correlatas ao cargo, conforme determinação da autoridade nomeante, observadas as diretrizes da gestão municipal e a legislação vigente.</w:t>
      </w:r>
    </w:p>
    <w:p>
      <w:pPr>
        <w:pStyle w:val="ListParagraph"/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Requisito: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Ensino Médio Completo</w:t>
      </w: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en-US" w:eastAsia="pt-BR"/>
        </w:rPr>
        <w:t>R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eastAsia="pt-BR"/>
        </w:rPr>
        <w:t>eferência: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15 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br/>
      </w: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-323" w:rightChars="-147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-323" w:rightChars="-147"/>
        <w:jc w:val="center"/>
        <w:rPr>
          <w:rFonts w:ascii="Times New Roman" w:eastAsia="Times New Roman" w:hAnsi="Times New Roman" w:cs="Times New Roman" w:hint="default"/>
          <w:b/>
          <w:bCs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ASSESSOR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 DE TRANSPORTE E SEGURANÇA</w:t>
      </w: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Descrição:</w:t>
      </w: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br/>
      </w: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hAnsi="Times New Roman" w:cs="Times New Roman" w:hint="default"/>
          <w:sz w:val="28"/>
          <w:szCs w:val="28"/>
          <w:lang w:val="pt-BR"/>
        </w:rPr>
        <w:t>Dirigir veículo automotores para transporte de passageiros ou carga, realizar transporte estratégico de autoridades;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hAnsi="Times New Roman" w:cs="Times New Roman" w:hint="default"/>
          <w:sz w:val="28"/>
          <w:szCs w:val="28"/>
          <w:lang w:val="pt-BR"/>
        </w:rPr>
        <w:t>Zelar pela guarda, conservação e limpeza dos veículos e cumprimento rigoroso de normas de segurança;</w:t>
      </w:r>
    </w:p>
    <w:p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hAnsi="Times New Roman" w:cs="Times New Roman" w:hint="default"/>
          <w:sz w:val="28"/>
          <w:szCs w:val="28"/>
          <w:lang w:val="pt-BR"/>
        </w:rPr>
        <w:t>Realizar atividades de assessoria em segurança institucional de autoridades e tarefas afins, com acesso a i</w:t>
      </w:r>
      <w:r>
        <w:rPr>
          <w:rFonts w:ascii="Times New Roman" w:eastAsia="SimSun" w:hAnsi="Times New Roman" w:cs="Times New Roman" w:hint="default"/>
          <w:sz w:val="28"/>
          <w:szCs w:val="28"/>
        </w:rPr>
        <w:t>nformações sensíveis e acompanhamento da agenda da autoridade.</w:t>
      </w:r>
    </w:p>
    <w:p>
      <w:pPr>
        <w:spacing w:after="0" w:line="288" w:lineRule="auto"/>
        <w:jc w:val="both"/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</w:pPr>
    </w:p>
    <w:p>
      <w:pPr>
        <w:pStyle w:val="ListParagraph"/>
        <w:spacing w:after="0" w:line="288" w:lineRule="auto"/>
        <w:jc w:val="both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</w:p>
    <w:p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  <w:lang w:eastAsia="pt-BR"/>
        </w:rPr>
        <w:t>Requisito: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Ensino </w:t>
      </w:r>
      <w:r>
        <w:rPr>
          <w:rFonts w:ascii="Times New Roman" w:hAnsi="Times New Roman" w:cs="Times New Roman" w:hint="default"/>
          <w:sz w:val="24"/>
          <w:szCs w:val="24"/>
          <w:lang w:val="en-US" w:eastAsia="pt-BR"/>
        </w:rPr>
        <w:t>Fundamental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Completo</w:t>
      </w:r>
    </w:p>
    <w:p>
      <w:pPr>
        <w:rPr>
          <w:rFonts w:ascii="Times New Roman" w:hAnsi="Times New Roman" w:cs="Times New Roman" w:hint="default"/>
          <w:b/>
          <w:bCs/>
          <w:highlight w:val="none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en-US" w:eastAsia="pt-BR"/>
        </w:rPr>
        <w:t>R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eastAsia="pt-BR"/>
        </w:rPr>
        <w:t>eferência: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1</w:t>
      </w:r>
      <w:r>
        <w:rPr>
          <w:rFonts w:ascii="Times New Roman" w:hAnsi="Times New Roman" w:cs="Times New Roman" w:hint="default"/>
          <w:sz w:val="24"/>
          <w:szCs w:val="24"/>
          <w:lang w:val="en-US" w:eastAsia="pt-BR"/>
        </w:rPr>
        <w:t>3</w:t>
      </w:r>
      <w:r>
        <w:rPr>
          <w:rFonts w:ascii="Times New Roman" w:eastAsia="Times New Roman" w:hAnsi="Times New Roman" w:cs="Times New Roman" w:hint="default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 w:hint="default"/>
          <w:b/>
          <w:bCs/>
          <w:highlight w:val="none"/>
        </w:rPr>
        <w:t xml:space="preserve"> </w:t>
      </w:r>
    </w:p>
    <w:p>
      <w:pPr>
        <w:rPr>
          <w:rFonts w:ascii="Times New Roman" w:hAnsi="Times New Roman" w:cs="Times New Roman" w:hint="default"/>
        </w:rPr>
      </w:pPr>
    </w:p>
    <w:p>
      <w:pPr>
        <w:spacing w:after="0" w:line="240" w:lineRule="auto"/>
        <w:ind w:left="0" w:firstLine="1099" w:leftChars="0" w:firstLineChars="45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4º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sz w:val="24"/>
          <w:szCs w:val="24"/>
        </w:rPr>
        <w:t>Revogadas as disposições em contrário, esta Lei Complementar entrará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</w:pPr>
    </w:p>
    <w:p>
      <w:pPr>
        <w:spacing w:after="0" w:line="240" w:lineRule="auto"/>
        <w:ind w:firstLine="120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  <w:t>Prefeitura da Estância Turística de Holambra/SP, 17 de abril de 2026.</w:t>
      </w:r>
    </w:p>
    <w:p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FERNANDO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HENRIQUE CAPATO</w:t>
      </w:r>
    </w:p>
    <w:p>
      <w:pPr>
        <w:ind w:right="45"/>
        <w:jc w:val="center"/>
        <w:rPr>
          <w:rFonts w:ascii="Times New Roman" w:hAnsi="Times New Roman" w:cs="Times New Roman" w:hint="default"/>
          <w:b/>
          <w:snapToGrid w:val="0"/>
          <w:sz w:val="24"/>
          <w:szCs w:val="24"/>
        </w:rPr>
      </w:pPr>
      <w:r>
        <w:rPr>
          <w:rFonts w:ascii="Times New Roman" w:hAnsi="Times New Roman" w:cs="Times New Roman" w:hint="default"/>
          <w:b/>
          <w:snapToGrid w:val="0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JUSTIFICATIVAS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878" w:leftChars="0" w:rightChars="0" w:firstLineChars="366"/>
        <w:jc w:val="both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val="en-US" w:eastAsia="pt-BR"/>
        </w:rPr>
        <w:t>o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val="en-US" w:eastAsia="pt-BR"/>
        </w:rPr>
        <w:t>S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878" w:leftChars="0" w:rightChars="0" w:firstLineChars="366"/>
        <w:jc w:val="both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Excelentíssimos Senhores Vereadores,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O presente projeto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de Lei Complementar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tem por objetivo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a 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criação 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 w:hint="default"/>
          <w:b/>
          <w:sz w:val="24"/>
          <w:szCs w:val="24"/>
        </w:rPr>
        <w:t>extinção de cargo público em comissão que destaca, integrante do Anexo II da Lei Complementar nº 001/1993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A proposta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se dá, haja vista a declaração de inconstitucionalidade dos</w:t>
      </w:r>
      <w:r>
        <w:rPr>
          <w:rFonts w:ascii="Times New Roman" w:hAnsi="Times New Roman" w:cs="Times New Roman" w:hint="default"/>
          <w:sz w:val="24"/>
          <w:szCs w:val="24"/>
        </w:rPr>
        <w:t xml:space="preserve"> cargos em comissão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ADI 2022588-93.2025.8.26.0000,</w:t>
      </w:r>
      <w:r>
        <w:rPr>
          <w:rFonts w:ascii="Times New Roman" w:hAnsi="Times New Roman" w:cs="Times New Roman" w:hint="default"/>
          <w:sz w:val="24"/>
          <w:szCs w:val="24"/>
        </w:rPr>
        <w:t xml:space="preserve"> atualmente existentes na estrutura administrativa do Município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sendo necessário a criação de novos cargos em comissão para adequação do quadro de servidores do município.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</w:pPr>
    </w:p>
    <w:p>
      <w:pPr>
        <w:tabs>
          <w:tab w:val="left" w:pos="3270"/>
        </w:tabs>
        <w:autoSpaceDE w:val="0"/>
        <w:autoSpaceDN w:val="0"/>
        <w:adjustRightInd w:val="0"/>
        <w:spacing w:after="0" w:line="240" w:lineRule="auto"/>
        <w:ind w:left="0" w:firstLine="878" w:leftChars="0" w:firstLineChars="366"/>
        <w:jc w:val="both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Diante de todo exposto, encaminha-se o presente Projeto de Lei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Complementar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para análise desta Casa Legislativa, renovando os votos e estima e distinta consideração.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color w:val="FF000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  <w:t>Prefeitura da Estância Turística de Holambra/SP, 17 de abril de 2026.</w:t>
      </w: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bookmarkStart w:id="0" w:name="_GoBack"/>
      <w:bookmarkEnd w:id="0"/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FERNANDO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HENRIQUE CAPATO</w:t>
      </w:r>
    </w:p>
    <w:p>
      <w:pPr>
        <w:ind w:right="45"/>
        <w:jc w:val="center"/>
        <w:rPr>
          <w:rFonts w:ascii="Times New Roman" w:hAnsi="Times New Roman" w:cs="Times New Roman" w:hint="default"/>
          <w:b/>
          <w:snapToGrid w:val="0"/>
          <w:sz w:val="24"/>
          <w:szCs w:val="24"/>
        </w:rPr>
      </w:pPr>
      <w:r>
        <w:rPr>
          <w:rFonts w:ascii="Times New Roman" w:hAnsi="Times New Roman" w:cs="Times New Roman" w:hint="default"/>
          <w:b/>
          <w:snapToGrid w:val="0"/>
          <w:sz w:val="24"/>
          <w:szCs w:val="24"/>
        </w:rPr>
        <w:t>Prefeito Municipal</w:t>
      </w: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both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Estância Turística de Holambra,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22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 xml:space="preserve"> de Abril de 2026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pStyle w:val="Heading1"/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6"/>
          <w:szCs w:val="26"/>
        </w:rPr>
        <w:t xml:space="preserve">Ofício-nº 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080</w:t>
      </w:r>
      <w:r>
        <w:rPr>
          <w:rFonts w:ascii="Times New Roman" w:hAnsi="Times New Roman" w:cs="Times New Roman" w:hint="default"/>
          <w:b/>
          <w:bCs/>
          <w:sz w:val="26"/>
          <w:szCs w:val="26"/>
        </w:rPr>
        <w:t>/202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6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Ex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celentíssimo Senhor Presidente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firstLine="1037" w:rightChars="0" w:firstLineChars="432"/>
        <w:jc w:val="both"/>
        <w:textAlignment w:val="auto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Com meus cordiais cumprimentos, sirvo-me do presente para encaminhar,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o Projeto de Lei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Complementar nº ____/2026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que 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Dispõe sobre a criação 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e </w:t>
      </w:r>
      <w:r>
        <w:rPr>
          <w:rFonts w:ascii="Times New Roman" w:hAnsi="Times New Roman" w:cs="Times New Roman" w:hint="default"/>
          <w:b/>
          <w:sz w:val="24"/>
          <w:szCs w:val="24"/>
        </w:rPr>
        <w:t>extinção de cargo público em comissão que destaca, integrante do Anexo II da Lei Complementar nº 001/1993; e dá outras providências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</w:rPr>
        <w:t>"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Sendo o que tinha a tinha para o momento, aproveito para apresentar meus votos de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elevada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estima e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distinta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consideração.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Prefeit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o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Municipal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u w:val="single"/>
          <w:lang w:val="pt-BR"/>
        </w:rPr>
        <w:t>HOLAMBRA - SP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sectPr>
      <w:headerReference w:type="default" r:id="rId6"/>
      <w:footerReference w:type="default" r:id="rId7"/>
      <w:pgSz w:w="11906" w:h="16838"/>
      <w:pgMar w:top="1261" w:right="1134" w:bottom="57" w:left="1134" w:header="709" w:footer="0" w:gutter="0"/>
      <w:pgNumType w:fmt="decimal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line="240" w:lineRule="auto"/>
      <w:jc w:val="center"/>
      <w:rPr>
        <w:rFonts w:ascii="Tahoma" w:hAnsi="Tahoma" w:cs="Tahoma" w:hint="default"/>
        <w:b/>
        <w:bCs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Title"/>
      <w:rPr>
        <w:rFonts w:ascii="Tahoma" w:hAnsi="Tahoma" w:cs="Tahoma" w:hint="default"/>
        <w:sz w:val="16"/>
        <w:szCs w:val="16"/>
      </w:rPr>
    </w:pPr>
    <w:bookmarkStart w:id="1" w:name="_Hlk321300289"/>
    <w:bookmarkStart w:id="2" w:name="OLE_LINK1"/>
    <w:bookmarkStart w:id="3" w:name="OLE_LINK3"/>
    <w:bookmarkStart w:id="4" w:name="OLE_LINK2"/>
    <w:r>
      <w:rPr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Head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 w:hint="default"/>
        <w:b w:val="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o:spid="_x0000_s2050" type="#_x0000_t75" style="width:58.7pt;height:65.3pt;margin-top:-12.25pt;margin-left:-46.05pt;mso-height-relative:page;mso-width-relative:page;mso-wrap-distance-bottom:0;mso-wrap-distance-left:9pt;mso-wrap-distance-right:9pt;mso-wrap-distance-top:0;position:absolute;z-index:251660288" o:oleicon="f" coordsize="21600,21600" o:preferrelative="t" filled="f" stroked="f">
          <v:stroke joinstyle="miter"/>
          <v:imagedata r:id="rId1" o:title=""/>
          <o:lock v:ext="edit" aspectratio="t"/>
          <w10:wrap type="square"/>
        </v:shape>
        <o:OLEObject Type="Embed" ProgID="Unknown" ShapeID="_x0000_s4097" DrawAspect="Content" ObjectID="_1468075725" r:id="rId2"/>
      </w:pict>
    </w:r>
    <w:r>
      <w:rPr>
        <w:rFonts w:ascii="Tahoma" w:hAnsi="Tahoma" w:cs="Tahoma" w:hint="default"/>
        <w:sz w:val="16"/>
        <w:szCs w:val="16"/>
      </w:rPr>
      <w:t>PREFEITURA MUNICIPAL DA ESTÂNCIA TURÍSTICA DE HOLAMBRA</w:t>
    </w:r>
  </w:p>
  <w:p>
    <w:pPr>
      <w:spacing w:after="0" w:line="240" w:lineRule="auto"/>
      <w:jc w:val="center"/>
      <w:outlineLvl w:val="0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AL. MAURICIO DE NASSAU, 444 – FONES (019) 3802-8000 - CEP – 13825-000 – HOLAMBRA – SP</w:t>
    </w:r>
  </w:p>
  <w:p>
    <w:pPr>
      <w:spacing w:after="0" w:line="240" w:lineRule="auto"/>
      <w:jc w:val="center"/>
      <w:outlineLvl w:val="0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CNPJ 67.172.437/0001-83 – site: www.holambra.sp.gov.br / e-mail: gabinete@holambra.sp.gov.br</w:t>
    </w:r>
  </w:p>
  <w:p>
    <w:pPr>
      <w:pStyle w:val="Subtitle"/>
      <w:rPr>
        <w:rFonts w:ascii="Tahoma" w:hAnsi="Tahoma" w:cs="Tahoma" w:hint="default"/>
        <w:b/>
        <w:sz w:val="16"/>
        <w:szCs w:val="16"/>
      </w:rPr>
    </w:pPr>
  </w:p>
  <w:p>
    <w:pPr>
      <w:pStyle w:val="Subtitle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>
    <w:pPr>
      <w:pStyle w:val="Head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FFFFF1D"/>
    <w:lvl w:ilvl="0">
      <w:start w:val="1"/>
      <w:numFmt w:val="bullet"/>
      <w:pStyle w:val="TextodoEspaoReservado1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EB5CE5"/>
    <w:multiLevelType w:val="multilevel"/>
    <w:tmpl w:val="0FEB5C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6BDE"/>
    <w:multiLevelType w:val="multilevel"/>
    <w:tmpl w:val="13316B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noPunctuationKerning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71F3499"/>
    <w:rsid w:val="08A715A7"/>
    <w:rsid w:val="08EB3EFE"/>
    <w:rsid w:val="091B76CC"/>
    <w:rsid w:val="093E5E78"/>
    <w:rsid w:val="09656400"/>
    <w:rsid w:val="09DB5D15"/>
    <w:rsid w:val="0A542580"/>
    <w:rsid w:val="0B6678ED"/>
    <w:rsid w:val="0CA76213"/>
    <w:rsid w:val="0D354EA2"/>
    <w:rsid w:val="0DB64145"/>
    <w:rsid w:val="11337646"/>
    <w:rsid w:val="118A21FF"/>
    <w:rsid w:val="14506131"/>
    <w:rsid w:val="148E5DCA"/>
    <w:rsid w:val="18320626"/>
    <w:rsid w:val="18A96672"/>
    <w:rsid w:val="1B4F070C"/>
    <w:rsid w:val="1C291129"/>
    <w:rsid w:val="1CDE73B9"/>
    <w:rsid w:val="1E1850E2"/>
    <w:rsid w:val="20971921"/>
    <w:rsid w:val="217B5502"/>
    <w:rsid w:val="226A4C31"/>
    <w:rsid w:val="22E11F72"/>
    <w:rsid w:val="245C5DE6"/>
    <w:rsid w:val="2480239D"/>
    <w:rsid w:val="27874401"/>
    <w:rsid w:val="2BEA4F66"/>
    <w:rsid w:val="3471382B"/>
    <w:rsid w:val="35A77408"/>
    <w:rsid w:val="380F474D"/>
    <w:rsid w:val="382C1F85"/>
    <w:rsid w:val="39521D68"/>
    <w:rsid w:val="3F540F56"/>
    <w:rsid w:val="42634FF5"/>
    <w:rsid w:val="448260B3"/>
    <w:rsid w:val="48191344"/>
    <w:rsid w:val="4A5F739D"/>
    <w:rsid w:val="4B410454"/>
    <w:rsid w:val="4C360DF2"/>
    <w:rsid w:val="4C527A4E"/>
    <w:rsid w:val="4FA413B7"/>
    <w:rsid w:val="50014041"/>
    <w:rsid w:val="50C666E7"/>
    <w:rsid w:val="565F7C79"/>
    <w:rsid w:val="573A619C"/>
    <w:rsid w:val="581715A4"/>
    <w:rsid w:val="58FB5454"/>
    <w:rsid w:val="5AD523D9"/>
    <w:rsid w:val="5C277AFF"/>
    <w:rsid w:val="5CF314A4"/>
    <w:rsid w:val="601D780A"/>
    <w:rsid w:val="61032274"/>
    <w:rsid w:val="61CE09CA"/>
    <w:rsid w:val="6340238D"/>
    <w:rsid w:val="63D3457F"/>
    <w:rsid w:val="63D37C76"/>
    <w:rsid w:val="63FF151B"/>
    <w:rsid w:val="64AA1C92"/>
    <w:rsid w:val="64AE5933"/>
    <w:rsid w:val="67277775"/>
    <w:rsid w:val="67C12B0D"/>
    <w:rsid w:val="67C26A4A"/>
    <w:rsid w:val="680D57F2"/>
    <w:rsid w:val="68A64FB1"/>
    <w:rsid w:val="69E808D7"/>
    <w:rsid w:val="6C0F0FA9"/>
    <w:rsid w:val="6C5C34D8"/>
    <w:rsid w:val="70AA3F14"/>
    <w:rsid w:val="71B129F7"/>
    <w:rsid w:val="71E54721"/>
    <w:rsid w:val="71FF52F8"/>
    <w:rsid w:val="72271CF2"/>
    <w:rsid w:val="790D6B30"/>
    <w:rsid w:val="7C7F301C"/>
    <w:rsid w:val="7F8E6CA1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semiHidden="0" w:qFormat="1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semiHidden="0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qFormat="1"/>
    <w:lsdException w:name="Body Text Indent" w:semiHidden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</w:latentStyles>
  <w:style w:type="paragraph" w:default="1" w:styleId="Normal">
    <w:name w:val="Normal"/>
    <w:qFormat/>
    <w:pPr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Heading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Heading3">
    <w:name w:val="heading 3"/>
    <w:next w:val="Normal"/>
    <w:uiPriority w:val="9"/>
    <w:unhideWhenUsed/>
    <w:qFormat/>
    <w:pPr>
      <w:spacing w:before="0" w:beforeAutospacing="1" w:after="0" w:afterAutospacing="1"/>
      <w:jc w:val="left"/>
      <w:outlineLvl w:val="2"/>
    </w:pPr>
    <w:rPr>
      <w:rFonts w:ascii="SimSun" w:eastAsia="SimSun" w:hAnsi="SimSun" w:cs="SimSun" w:hint="eastAsia"/>
      <w:b/>
      <w:kern w:val="0"/>
      <w:sz w:val="26"/>
      <w:szCs w:val="26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BlockText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next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BodyText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Header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odyTextIndent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link w:val="Header"/>
    <w:qFormat/>
  </w:style>
  <w:style w:type="character" w:customStyle="1" w:styleId="RodapChar">
    <w:name w:val="Rodapé Char"/>
    <w:basedOn w:val="DefaultParagraphFont"/>
    <w:link w:val="Footer"/>
    <w:uiPriority w:val="99"/>
    <w:semiHidden/>
    <w:qFormat/>
  </w:style>
  <w:style w:type="character" w:customStyle="1" w:styleId="TtuloChar">
    <w:name w:val="Título Char"/>
    <w:basedOn w:val="DefaultParagraphFont"/>
    <w:link w:val="Title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DefaultParagraphFont"/>
    <w:link w:val="BodyText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DefaultParagraphFont"/>
    <w:link w:val="Heading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DefaultParagraphFont"/>
    <w:qFormat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DefaultParagraphFont"/>
    <w:link w:val="BodyText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jc w:val="left"/>
    </w:pPr>
    <w:rPr>
      <w:rFonts w:ascii="Times New Roman" w:hAnsi="Times New Roman" w:eastAsiaTheme="minorHAnsi" w:cs="Times New Roman"/>
      <w:color w:val="000000"/>
      <w:sz w:val="24"/>
      <w:szCs w:val="24"/>
      <w:lang w:val="pt-BR" w:eastAsia="en-US" w:bidi="ar-SA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lang w:val="pt-BR" w:eastAsia="pt-BR" w:bidi="ar-SA"/>
    </w:rPr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widowControl/>
      <w:numPr>
        <w:ilvl w:val="0"/>
        <w:numId w:val="1"/>
      </w:numPr>
      <w:suppressAutoHyphens w:val="0"/>
      <w:autoSpaceDN/>
      <w:spacing w:after="160" w:line="259" w:lineRule="auto"/>
      <w:contextualSpacing/>
      <w:textAlignment w:val="auto"/>
      <w:outlineLvl w:val="0"/>
    </w:pPr>
    <w:rPr>
      <w:rFonts w:ascii="Verdana" w:eastAsia="Times New Roman" w:hAnsi="Verdana" w:cs="Times New Roman"/>
      <w:kern w:val="0"/>
      <w:sz w:val="24"/>
      <w:lang w:eastAsia="pt-BR" w:bidi="ar-SA"/>
    </w:rPr>
  </w:style>
  <w:style w:type="paragraph" w:customStyle="1" w:styleId="PargrafodaLista1">
    <w:name w:val="Parágrafo da Lista1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547B4-6EC9-4997-A026-C14E87762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107</Words>
  <Characters>583</Characters>
  <Application>Microsoft Office Word</Application>
  <DocSecurity>0</DocSecurity>
  <Lines>4</Lines>
  <Paragraphs>1</Paragraphs>
  <ScaleCrop>false</ScaleCrop>
  <Company>.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361806</cp:lastModifiedBy>
  <cp:revision>3</cp:revision>
  <cp:lastPrinted>2026-04-22T14:36:58Z</cp:lastPrinted>
  <dcterms:created xsi:type="dcterms:W3CDTF">2016-08-10T12:18:00Z</dcterms:created>
  <dcterms:modified xsi:type="dcterms:W3CDTF">2026-04-22T17:40:49Z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