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A63" w14:paraId="64F69068" w14:textId="77777777">
      <w:pPr>
        <w:rPr>
          <w:b/>
          <w:bCs/>
        </w:rPr>
      </w:pPr>
    </w:p>
    <w:p w:rsidR="00297A63" w14:paraId="6C21B9B0" w14:textId="77777777">
      <w:pPr>
        <w:rPr>
          <w:b/>
          <w:bCs/>
        </w:rPr>
      </w:pPr>
    </w:p>
    <w:p w:rsidR="00297A63" w14:paraId="2233E8E6" w14:textId="77777777">
      <w:pPr>
        <w:rPr>
          <w:b/>
          <w:bCs/>
        </w:rPr>
      </w:pPr>
    </w:p>
    <w:p w:rsidR="00CD0503" w:rsidRPr="00297A63" w14:paraId="79606879" w14:textId="64DD8B3F">
      <w:pPr>
        <w:rPr>
          <w:rFonts w:ascii="Arial" w:hAnsi="Arial" w:cs="Arial"/>
          <w:b/>
          <w:bCs/>
        </w:rPr>
      </w:pPr>
      <w:r w:rsidRPr="00297A63">
        <w:rPr>
          <w:rFonts w:ascii="Arial" w:hAnsi="Arial" w:cs="Arial"/>
          <w:b/>
          <w:bCs/>
        </w:rPr>
        <w:t>EMENDA MODIFICATIVA Nº 01 AO PROJETO DE LEI COMPLEMENTAR Nº 015/2025</w:t>
      </w:r>
    </w:p>
    <w:p w:rsidR="00CD0503" w:rsidRPr="00297A63" w14:paraId="0294DC87" w14:textId="77777777">
      <w:pPr>
        <w:rPr>
          <w:rFonts w:ascii="Arial" w:hAnsi="Arial" w:cs="Arial"/>
        </w:rPr>
      </w:pPr>
    </w:p>
    <w:p w:rsidR="00CD0503" w:rsidRPr="00297A63" w:rsidP="00CD0503" w14:paraId="23DCD02E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  <w:b/>
          <w:bCs/>
        </w:rPr>
        <w:t>Art. 1º.</w:t>
      </w:r>
      <w:r w:rsidRPr="00297A63">
        <w:rPr>
          <w:rFonts w:ascii="Arial" w:hAnsi="Arial" w:cs="Arial"/>
        </w:rPr>
        <w:t xml:space="preserve"> Nos dispositivos em que há segunda ocorrência da numeração “Artigo 91” e “Artigo 92”, ambos tratando da dispensa da obrigatoriedade de recuo frontal, fica alterada a numeração para:</w:t>
      </w:r>
    </w:p>
    <w:p w:rsidR="00CD0503" w:rsidRPr="00297A63" w:rsidP="00CD0503" w14:paraId="692B43D6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 xml:space="preserve">I – </w:t>
      </w:r>
      <w:r w:rsidRPr="00297A63">
        <w:rPr>
          <w:rFonts w:ascii="Arial" w:hAnsi="Arial" w:cs="Arial"/>
        </w:rPr>
        <w:t>onde</w:t>
      </w:r>
      <w:r w:rsidRPr="00297A63">
        <w:rPr>
          <w:rFonts w:ascii="Arial" w:hAnsi="Arial" w:cs="Arial"/>
        </w:rPr>
        <w:t xml:space="preserve"> se lê “Artigo 91”, leia-se “Artigo 92-A”;</w:t>
      </w:r>
    </w:p>
    <w:p w:rsidR="00CD0503" w:rsidRPr="00297A63" w:rsidP="00CD0503" w14:paraId="3BD65264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 xml:space="preserve">II – </w:t>
      </w:r>
      <w:r w:rsidRPr="00297A63">
        <w:rPr>
          <w:rFonts w:ascii="Arial" w:hAnsi="Arial" w:cs="Arial"/>
        </w:rPr>
        <w:t>onde</w:t>
      </w:r>
      <w:r w:rsidRPr="00297A63">
        <w:rPr>
          <w:rFonts w:ascii="Arial" w:hAnsi="Arial" w:cs="Arial"/>
        </w:rPr>
        <w:t xml:space="preserve"> se lê “Artigo 92”, leia-se “Artigo 92-B”.</w:t>
      </w:r>
    </w:p>
    <w:p w:rsidR="00CD0503" w:rsidRPr="00297A63" w:rsidP="00CD0503" w14:paraId="2823A484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  <w:b/>
          <w:bCs/>
        </w:rPr>
        <w:t>Art. 2º</w:t>
      </w:r>
      <w:r w:rsidRPr="00297A63">
        <w:rPr>
          <w:rFonts w:ascii="Arial" w:hAnsi="Arial" w:cs="Arial"/>
        </w:rPr>
        <w:t xml:space="preserve"> As demais disposições permanecem inalteradas.</w:t>
      </w:r>
    </w:p>
    <w:p w:rsidR="00CD0503" w:rsidRPr="00297A63" w14:paraId="7A6B1BCA" w14:textId="77777777">
      <w:pPr>
        <w:rPr>
          <w:rFonts w:ascii="Arial" w:hAnsi="Arial" w:cs="Arial"/>
        </w:rPr>
      </w:pPr>
    </w:p>
    <w:p w:rsidR="00CD0503" w:rsidRPr="00297A63" w14:paraId="7A160B4A" w14:textId="77777777">
      <w:pPr>
        <w:rPr>
          <w:rFonts w:ascii="Arial" w:hAnsi="Arial" w:cs="Arial"/>
          <w:b/>
          <w:bCs/>
        </w:rPr>
      </w:pPr>
      <w:r w:rsidRPr="00297A63">
        <w:rPr>
          <w:rFonts w:ascii="Arial" w:hAnsi="Arial" w:cs="Arial"/>
          <w:b/>
          <w:bCs/>
        </w:rPr>
        <w:t xml:space="preserve">Justificativa: </w:t>
      </w:r>
    </w:p>
    <w:p w:rsidR="00CD0503" w:rsidRPr="00297A63" w:rsidP="00D12CA6" w14:paraId="3ABC2047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>A presente Emenda Modificativa tem por finalidade sanar inconsistência de numeração identificada no Projeto de Lei Complementar nº 015/2025, no qual os artigos 91 e 92 aparecem duplicados.</w:t>
      </w:r>
    </w:p>
    <w:p w:rsidR="00CD0503" w:rsidRPr="00297A63" w:rsidP="00D12CA6" w14:paraId="5E2F0A26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>Constatou-se que:</w:t>
      </w:r>
      <w:r w:rsidRPr="00297A63" w:rsidR="00D12CA6">
        <w:rPr>
          <w:rFonts w:ascii="Arial" w:hAnsi="Arial" w:cs="Arial"/>
        </w:rPr>
        <w:t xml:space="preserve"> </w:t>
      </w:r>
      <w:r w:rsidRPr="00297A63">
        <w:rPr>
          <w:rFonts w:ascii="Arial" w:hAnsi="Arial" w:cs="Arial"/>
        </w:rPr>
        <w:t xml:space="preserve">– Na primeira ocorrência, os artigos 91 e 92 tratam, respectivamente, dos recuos obrigatórios para edificações e da possibilidade de edificação de abrigos para </w:t>
      </w:r>
      <w:r w:rsidRPr="00297A63">
        <w:rPr>
          <w:rFonts w:ascii="Arial" w:hAnsi="Arial" w:cs="Arial"/>
        </w:rPr>
        <w:t>veículos;</w:t>
      </w:r>
      <w:r w:rsidRPr="00297A63" w:rsidR="00D12CA6">
        <w:rPr>
          <w:rFonts w:ascii="Arial" w:hAnsi="Arial" w:cs="Arial"/>
        </w:rPr>
        <w:t xml:space="preserve">  </w:t>
      </w:r>
      <w:r w:rsidRPr="00297A63">
        <w:rPr>
          <w:rFonts w:ascii="Arial" w:hAnsi="Arial" w:cs="Arial"/>
        </w:rPr>
        <w:t>–</w:t>
      </w:r>
      <w:r w:rsidRPr="00297A63">
        <w:rPr>
          <w:rFonts w:ascii="Arial" w:hAnsi="Arial" w:cs="Arial"/>
        </w:rPr>
        <w:t xml:space="preserve"> Na segunda ocorrência, artigos com a mesma numeração disciplinam matéria distinta, relativa à dispensa de obrigatoriedade de recuo frontal.</w:t>
      </w:r>
    </w:p>
    <w:p w:rsidR="00CD0503" w:rsidRPr="00297A63" w:rsidP="00D12CA6" w14:paraId="4DA54326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>A duplicidade de numeração viola as regras de técnica legislativa previstas na LC 95/1998, compromete a clareza e a coerência do texto normativo e pode gerar insegurança jurídica na aplicação futura da lei.</w:t>
      </w:r>
    </w:p>
    <w:p w:rsidR="00CD0503" w:rsidRPr="00297A63" w:rsidP="00D12CA6" w14:paraId="580DDF7F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>A solução proposta — renumerar os dispositivos repetidos para Artigo 92-A e Artigo 92-B — preserva o conteúdo aprovado, evita retrabalho legislativo e restabelece a ordem lógica e sequencial da matéria, garantindo integridade e precisão ao texto legal.</w:t>
      </w:r>
    </w:p>
    <w:p w:rsidR="00CD0503" w:rsidP="00D12CA6" w14:paraId="2743EB0C" w14:textId="77777777">
      <w:pPr>
        <w:jc w:val="both"/>
        <w:rPr>
          <w:rFonts w:ascii="Arial" w:hAnsi="Arial" w:cs="Arial"/>
        </w:rPr>
      </w:pPr>
      <w:r w:rsidRPr="00297A63">
        <w:rPr>
          <w:rFonts w:ascii="Arial" w:hAnsi="Arial" w:cs="Arial"/>
        </w:rPr>
        <w:t>Dessa forma, a emenda é estritamente formal, não altera o mérito e contribui para a qualidade e segurança jurídica do projeto, razão pela qual se espera sua aprovação pelos Nobres Pares.</w:t>
      </w:r>
    </w:p>
    <w:p w:rsidR="00297A63" w:rsidP="00D12CA6" w14:paraId="6A82A695" w14:textId="599658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 “Vereador Aparício de Almeida”, 12 de dezembro de 2025.</w:t>
      </w:r>
    </w:p>
    <w:p w:rsidR="00297A63" w:rsidRPr="00297A63" w:rsidP="00D12CA6" w14:paraId="1F87623B" w14:textId="77777777">
      <w:pPr>
        <w:jc w:val="both"/>
        <w:rPr>
          <w:rFonts w:ascii="Arial" w:hAnsi="Arial" w:cs="Arial"/>
        </w:rPr>
      </w:pPr>
    </w:p>
    <w:p w:rsidR="00D12CA6" w:rsidP="00D12CA6" w14:paraId="739CF204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297A63" w:rsidP="00D12CA6" w14:paraId="1E1224E7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297A63" w:rsidP="00D12CA6" w14:paraId="5FF090AB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297A63" w:rsidP="00D12CA6" w14:paraId="10ED3F05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297A63" w:rsidP="00D12CA6" w14:paraId="6085D08A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297A63" w:rsidRPr="00297A63" w:rsidP="00D12CA6" w14:paraId="730AD0F7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D12CA6" w:rsidRPr="00297A63" w:rsidP="00D12CA6" w14:paraId="66FD684E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97A63">
        <w:rPr>
          <w:rFonts w:ascii="Arial" w:hAnsi="Arial" w:cs="Arial"/>
          <w:b/>
          <w:bCs/>
          <w:u w:val="single"/>
        </w:rPr>
        <w:t>COMISSÃO DE CONSTITUIÇÃO, JUSTICA E REDAÇÃO</w:t>
      </w:r>
    </w:p>
    <w:p w:rsidR="00D12CA6" w:rsidRPr="00297A63" w:rsidP="00D12CA6" w14:paraId="2297650F" w14:textId="7777777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D12CA6" w:rsidRPr="00297A63" w:rsidP="00D12CA6" w14:paraId="250CB96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:rsidR="00D12CA6" w:rsidRPr="00297A63" w:rsidP="00D12CA6" w14:paraId="743287A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12CA6" w:rsidRPr="00297A63" w:rsidP="00D12CA6" w14:paraId="518AF19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  <w:lang w:val="en-US"/>
        </w:rPr>
        <w:t xml:space="preserve">                                                    </w:t>
      </w:r>
    </w:p>
    <w:p w:rsidR="00D12CA6" w:rsidRPr="00297A63" w:rsidP="00D12CA6" w14:paraId="5A62816C" w14:textId="77777777">
      <w:pPr>
        <w:spacing w:after="0" w:line="240" w:lineRule="auto"/>
        <w:ind w:left="-851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                     FABIANO SOARES LIMA                                                      JOSÉ MARCOS DE SOUZA </w:t>
      </w:r>
    </w:p>
    <w:p w:rsidR="00D12CA6" w:rsidRPr="00297A63" w:rsidP="00D12CA6" w14:paraId="100BF117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20"/>
          <w:szCs w:val="20"/>
          <w:lang w:val="en-US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          Vereador/Presidente                                                           Vereador/Vice-Presidente</w:t>
      </w:r>
    </w:p>
    <w:p w:rsidR="00D12CA6" w:rsidRPr="00297A63" w:rsidP="00D12CA6" w14:paraId="352CC59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D12CA6" w:rsidRPr="00297A63" w:rsidP="00D12CA6" w14:paraId="11A406B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12CA6" w:rsidRPr="00297A63" w:rsidP="00D12CA6" w14:paraId="5CA29FC7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12CA6" w:rsidRPr="00297A63" w:rsidP="00D12CA6" w14:paraId="65D8747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>MAURO SÉRGIO DE OLIVEIRA</w:t>
      </w:r>
    </w:p>
    <w:p w:rsidR="00D12CA6" w:rsidRPr="00297A63" w:rsidP="00D12CA6" w14:paraId="3BF853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>Vereador/Secretário</w:t>
      </w:r>
    </w:p>
    <w:p w:rsidR="00D12CA6" w:rsidRPr="00297A63" w:rsidP="00D12CA6" w14:paraId="40B546C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12CA6" w:rsidRPr="00297A63" w:rsidP="00D12CA6" w14:paraId="056A35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97A63" w:rsidP="00D12CA6" w14:paraId="235021A0" w14:textId="7777777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7A63" w:rsidP="00D12CA6" w14:paraId="67F4E854" w14:textId="7777777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7A63" w:rsidP="00D12CA6" w14:paraId="4669B48F" w14:textId="7777777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97A63" w:rsidP="00D12CA6" w14:paraId="29BB10B3" w14:textId="7777777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D12CA6" w:rsidRPr="00297A63" w:rsidP="00D12CA6" w14:paraId="57D05DD6" w14:textId="7E4E77A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97A63">
        <w:rPr>
          <w:rFonts w:ascii="Arial" w:hAnsi="Arial" w:cs="Arial"/>
          <w:b/>
          <w:bCs/>
          <w:sz w:val="20"/>
          <w:szCs w:val="20"/>
          <w:u w:val="single"/>
        </w:rPr>
        <w:t>COMISSÃO DE OBRAS, SERVIÇOS PÚBLICOS, SAÚDE, EDUCAÇÃO, CULTURA, LAZER E TURISMO, PLANEJAMENTO, USO, OCUPAÇÃO E PARCELAMENTO DO SOLO</w:t>
      </w:r>
    </w:p>
    <w:p w:rsidR="00D12CA6" w:rsidP="00D12CA6" w14:paraId="6FACCD88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97A63" w:rsidP="00D12CA6" w14:paraId="25BBDCC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97A63" w:rsidP="00D12CA6" w14:paraId="42658049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97A63" w:rsidP="00D12CA6" w14:paraId="0CA474D2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97A63" w:rsidRPr="00297A63" w:rsidP="00D12CA6" w14:paraId="6C019C5F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12CA6" w:rsidRPr="00297A63" w:rsidP="00D12CA6" w14:paraId="5355BEB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12CA6" w:rsidRPr="00297A63" w:rsidP="00D12CA6" w14:paraId="1B831488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12CA6" w:rsidRPr="00297A63" w:rsidP="00D12CA6" w14:paraId="0EB75DE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>MAURO SÉRGIO DE OLIVEIRA                                     HERMINDO FELIX</w:t>
      </w:r>
    </w:p>
    <w:p w:rsidR="00D12CA6" w:rsidRPr="00297A63" w:rsidP="00D12CA6" w14:paraId="2B9A3F1C" w14:textId="77777777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                              Vereador/Presidente                                          Vereador/Vice-Presidente</w:t>
      </w:r>
    </w:p>
    <w:p w:rsidR="00D12CA6" w:rsidRPr="00297A63" w:rsidP="00D12CA6" w14:paraId="5773E6F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            </w:t>
      </w:r>
    </w:p>
    <w:p w:rsidR="00D12CA6" w:rsidRPr="00297A63" w:rsidP="00D12CA6" w14:paraId="1471859A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12CA6" w:rsidRPr="00297A63" w:rsidP="00D12CA6" w14:paraId="621F2AE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97A63" w:rsidP="00D12CA6" w14:paraId="5F001643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97A63" w:rsidP="00D12CA6" w14:paraId="6C5D4FE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297A63" w:rsidP="00D12CA6" w14:paraId="0D8C3965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D12CA6" w:rsidRPr="00297A63" w:rsidP="00D12CA6" w14:paraId="60BEB8F6" w14:textId="52CFEB8C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 xml:space="preserve">JANDERSON ADRIANO RIBEIRO </w:t>
      </w:r>
    </w:p>
    <w:p w:rsidR="00D12CA6" w:rsidRPr="00297A63" w:rsidP="00D12CA6" w14:paraId="0FCAA0AB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97A63">
        <w:rPr>
          <w:rFonts w:ascii="Arial" w:hAnsi="Arial" w:cs="Arial"/>
          <w:b/>
          <w:bCs/>
          <w:iCs/>
          <w:sz w:val="20"/>
          <w:szCs w:val="20"/>
        </w:rPr>
        <w:t>Vereador/Secretário</w:t>
      </w:r>
    </w:p>
    <w:p w:rsidR="00D12CA6" w:rsidRPr="00297A63" w:rsidP="00D12CA6" w14:paraId="6B8277CA" w14:textId="777777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2CA6" w:rsidRPr="00297A63" w:rsidP="00D12CA6" w14:paraId="073A7F04" w14:textId="77777777">
      <w:pPr>
        <w:spacing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D0503" w:rsidRPr="00297A63" w14:paraId="6A276F07" w14:textId="77777777">
      <w:pPr>
        <w:rPr>
          <w:rFonts w:ascii="Arial" w:hAnsi="Arial" w:cs="Arial"/>
        </w:rPr>
      </w:pPr>
    </w:p>
    <w:p w:rsidR="00CD0503" w14:paraId="05DB50B0" w14:textId="77777777"/>
    <w:p w:rsidR="00CD0503" w14:paraId="49B32E0E" w14:textId="77777777"/>
    <w:p w:rsidR="00CD0503" w14:paraId="79FA98D0" w14:textId="77777777"/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8221419"/>
      <w:docPartObj>
        <w:docPartGallery w:val="Page Numbers (Bottom of Page)"/>
        <w:docPartUnique/>
      </w:docPartObj>
    </w:sdtPr>
    <w:sdtContent>
      <w:p w:rsidR="00297A63" w14:paraId="23B1E425" w14:textId="1E40F0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97A63" w14:paraId="0E17CB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297A63"/>
    <w:rsid w:val="006C4952"/>
    <w:rsid w:val="00835407"/>
    <w:rsid w:val="008B20A8"/>
    <w:rsid w:val="00CD0503"/>
    <w:rsid w:val="00D12C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5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D05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297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97A63"/>
  </w:style>
  <w:style w:type="paragraph" w:styleId="Footer">
    <w:name w:val="footer"/>
    <w:basedOn w:val="Normal"/>
    <w:link w:val="RodapChar"/>
    <w:uiPriority w:val="99"/>
    <w:unhideWhenUsed/>
    <w:rsid w:val="00297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9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2025-12-11T17:08:00Z</dcterms:created>
  <dcterms:modified xsi:type="dcterms:W3CDTF">2025-12-12T10:43:00Z</dcterms:modified>
</cp:coreProperties>
</file>