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B840" w14:textId="72191209" w:rsidR="00D17F9D" w:rsidRPr="00D17F9D" w:rsidRDefault="00D17F9D" w:rsidP="00D17F9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AUTÓGRAFO Nº032/2025</w:t>
      </w:r>
    </w:p>
    <w:p w14:paraId="1FD877A5" w14:textId="3F0DD4A4" w:rsidR="00D17F9D" w:rsidRPr="00D17F9D" w:rsidRDefault="00D17F9D" w:rsidP="00D17F9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PROJETO DE LEI ORDINÁRIA Nº 026/2025.</w:t>
      </w:r>
    </w:p>
    <w:p w14:paraId="4E72C723" w14:textId="77777777" w:rsidR="00D17F9D" w:rsidRPr="00D17F9D" w:rsidRDefault="00D17F9D" w:rsidP="00D17F9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4E6D85" w14:textId="77777777" w:rsidR="00D17F9D" w:rsidRPr="00D17F9D" w:rsidRDefault="00D17F9D" w:rsidP="00D17F9D">
      <w:pPr>
        <w:spacing w:line="240" w:lineRule="auto"/>
        <w:ind w:leftChars="1535" w:left="3686"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DISPÕE SOBRE A POLÍTICA MUNICIPAL DE HABITAÇÃO (PMH), INSTITUI O CONSELHO MUNICIPAL DE HABITAÇÃO (CMH), CRIA O FUNDO MUNICIPAL DE HABITAÇÃO (FMH), E DÁ OUTRAS PROVIDÊNCIAS.</w:t>
      </w:r>
    </w:p>
    <w:p w14:paraId="6FCC5F0E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0E6790D4" w14:textId="77777777" w:rsidR="00D17F9D" w:rsidRPr="00D17F9D" w:rsidRDefault="00D17F9D" w:rsidP="00D17F9D">
      <w:pPr>
        <w:ind w:firstLineChars="400" w:firstLine="960"/>
        <w:rPr>
          <w:rFonts w:ascii="Arial" w:hAnsi="Arial" w:cs="Arial"/>
        </w:rPr>
      </w:pPr>
      <w:r w:rsidRPr="00D17F9D">
        <w:rPr>
          <w:rFonts w:ascii="Arial" w:eastAsia="Times New Roman" w:hAnsi="Arial" w:cs="Arial"/>
          <w:bCs/>
          <w:iCs/>
          <w:lang w:val="pt"/>
        </w:rPr>
        <w:t xml:space="preserve">FAÇO SABER QUE A CÂMARA MUNICIPAL DA ESTÂNCIA TURÍSTICA DE HOLAMBRA, ESTADO DE SÃO PAULO, APROVOU E EU, FERNANDO </w:t>
      </w:r>
      <w:r w:rsidRPr="00D17F9D">
        <w:rPr>
          <w:rFonts w:ascii="Arial" w:eastAsia="Times New Roman" w:hAnsi="Arial" w:cs="Arial"/>
          <w:bCs/>
          <w:iCs/>
        </w:rPr>
        <w:t>HENRIQUE CAPATO</w:t>
      </w:r>
      <w:r w:rsidRPr="00D17F9D">
        <w:rPr>
          <w:rFonts w:ascii="Arial" w:eastAsia="Times New Roman" w:hAnsi="Arial" w:cs="Arial"/>
          <w:bCs/>
          <w:iCs/>
          <w:lang w:val="pt"/>
        </w:rPr>
        <w:t>, PREFEITO MUNICIPAL, SANCIONO E PROMULGO A SEGUINTE LEI COMPLEMENTAR</w:t>
      </w:r>
      <w:r w:rsidRPr="00D17F9D">
        <w:rPr>
          <w:rFonts w:ascii="Arial" w:hAnsi="Arial" w:cs="Arial"/>
        </w:rPr>
        <w:t>:</w:t>
      </w:r>
    </w:p>
    <w:p w14:paraId="362BC87E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48B75B72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CAPÍTULO I – DAS DISPOSIÇÕES INICIAIS</w:t>
      </w:r>
    </w:p>
    <w:p w14:paraId="3D3BFDCE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I – Dos Princípios, Objetivos e Diretrizes da Política Municipal de Habitação</w:t>
      </w:r>
    </w:p>
    <w:p w14:paraId="167DAF91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Esta Lei Ordinária (LO) institui a Política Municipal de Habitação do Município da Estância Turística de Holambra, estabelecendo seus fundamentos, diretrizes, instrumentos e mecanismos de gestão, com vistas à promoção do direito à moradia digna, adequada e acessível, conforme previsto no art. 6º da Constituição Federal e nos marcos regulatórios nacionais.</w:t>
      </w:r>
    </w:p>
    <w:p w14:paraId="6EC519A7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A Política Municipal de Habitação rege-se pelos seguintes princípios:</w:t>
      </w:r>
    </w:p>
    <w:p w14:paraId="1A75FC8E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O direito à moradia como direito social fundamental;</w:t>
      </w:r>
    </w:p>
    <w:p w14:paraId="3B6681D1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 função social da propriedade e da cidade;</w:t>
      </w:r>
    </w:p>
    <w:p w14:paraId="668F0B89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 gestão democrática da política habitacional, com participação ativa da sociedade civil;</w:t>
      </w:r>
    </w:p>
    <w:p w14:paraId="18BA7418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 integração das políticas habitacionais às demais políticas públicas setoriais;</w:t>
      </w:r>
    </w:p>
    <w:p w14:paraId="440470B8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 priorização do atendimento à população de baixa renda e em situação de vulnerabilidade social;</w:t>
      </w:r>
    </w:p>
    <w:p w14:paraId="79651EED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A sustentabilidade ambiental, social e econômica das ações habitacionais;</w:t>
      </w:r>
    </w:p>
    <w:p w14:paraId="3760735E" w14:textId="77777777" w:rsidR="00D17F9D" w:rsidRPr="00D17F9D" w:rsidRDefault="00D17F9D" w:rsidP="00D17F9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 segurança da posse, a permanência e a regularização fundiária das famílias em assentamentos consolidados.</w:t>
      </w:r>
    </w:p>
    <w:p w14:paraId="0A36AE00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São objetivos da Política Municipal de Habitação:</w:t>
      </w:r>
    </w:p>
    <w:p w14:paraId="6EBDE919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Ampliar o acesso à moradia digna para todas as famílias residentes no Município, especialmente aquelas de baixa renda;</w:t>
      </w:r>
    </w:p>
    <w:p w14:paraId="06A45FA5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Reduzir o déficit habitacional quantitativo e qualitativo;</w:t>
      </w:r>
    </w:p>
    <w:p w14:paraId="6AF5DE48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Promover a urbanização e regularização fundiária de assentamentos informais consolidados;</w:t>
      </w:r>
    </w:p>
    <w:p w14:paraId="755D69D6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Estimular a produção e reabilitação de unidades habitacionais em áreas dotadas de infraestrutura;</w:t>
      </w:r>
    </w:p>
    <w:p w14:paraId="1BB23659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Garantir a permanência das famílias em áreas regularizadas, mediante ações de melhoria habitacional e urbanística;</w:t>
      </w:r>
    </w:p>
    <w:p w14:paraId="1EDBB4B3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Fomentar soluções inovadoras e sustentáveis para o acesso à moradia;</w:t>
      </w:r>
    </w:p>
    <w:p w14:paraId="6DAFEBA0" w14:textId="77777777" w:rsidR="00D17F9D" w:rsidRPr="00D17F9D" w:rsidRDefault="00D17F9D" w:rsidP="00D17F9D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Integrar os programas habitacionais à política de desenvolvimento urbano e econômico local.</w:t>
      </w:r>
    </w:p>
    <w:p w14:paraId="10EF4699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A Política Municipal de Habitação obedecerá às seguintes diretrizes gerais:</w:t>
      </w:r>
    </w:p>
    <w:p w14:paraId="46741D98" w14:textId="77777777" w:rsidR="00D17F9D" w:rsidRPr="00D17F9D" w:rsidRDefault="00D17F9D" w:rsidP="00D17F9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Estabelecer mecanismos institucionais e financeiros estáveis e transparentes para a execução da política;</w:t>
      </w:r>
    </w:p>
    <w:p w14:paraId="6FA02B07" w14:textId="77777777" w:rsidR="00D17F9D" w:rsidRPr="00D17F9D" w:rsidRDefault="00D17F9D" w:rsidP="00D17F9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Desenvolver o Plano Setorial Municipal de Habitação como instrumento estratégico de planejamento;</w:t>
      </w:r>
    </w:p>
    <w:p w14:paraId="6E9FB170" w14:textId="77777777" w:rsidR="00D17F9D" w:rsidRPr="00D17F9D" w:rsidRDefault="00D17F9D" w:rsidP="00D17F9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Operacionalizar os programas habitacionais com recursos do Fundo Municipal de Habitação e sob controle social do Conselho Municipal de Habitação;</w:t>
      </w:r>
    </w:p>
    <w:p w14:paraId="7F67064D" w14:textId="77777777" w:rsidR="00D17F9D" w:rsidRPr="00D17F9D" w:rsidRDefault="00D17F9D" w:rsidP="00D17F9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Incentivar a parceria entre a Administração Pública Municipal, a iniciativa privada, as entidades sociais e os demais entes federativos;</w:t>
      </w:r>
    </w:p>
    <w:p w14:paraId="2E69B87A" w14:textId="77777777" w:rsidR="00D17F9D" w:rsidRPr="00D17F9D" w:rsidRDefault="00D17F9D" w:rsidP="00D17F9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Promover a equidade territorial, combatendo a segregação socioespacial;</w:t>
      </w:r>
    </w:p>
    <w:p w14:paraId="28D6E794" w14:textId="77777777" w:rsidR="00D17F9D" w:rsidRPr="00D17F9D" w:rsidRDefault="00D17F9D" w:rsidP="00D17F9D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Assegurar o atendimento às necessidades específicas de grupos sociais historicamente vulnerabilizados, como mulheres chefes de família, idosos, pessoas com deficiência e comunidades tradicionais.</w:t>
      </w:r>
    </w:p>
    <w:p w14:paraId="577EE8A3" w14:textId="77777777" w:rsidR="00D17F9D" w:rsidRPr="00D17F9D" w:rsidRDefault="00D17F9D" w:rsidP="00D17F9D">
      <w:pPr>
        <w:suppressAutoHyphens w:val="0"/>
        <w:spacing w:line="240" w:lineRule="auto"/>
        <w:textAlignment w:val="auto"/>
        <w:outlineLvl w:val="9"/>
        <w:rPr>
          <w:rFonts w:ascii="Arial" w:hAnsi="Arial" w:cs="Arial"/>
        </w:rPr>
      </w:pPr>
    </w:p>
    <w:p w14:paraId="3AAFA72E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CAPÍTULO II – DA ESTRUTURA DA POLÍTICA MUNICIPAL DE HABITAÇÃO</w:t>
      </w:r>
    </w:p>
    <w:p w14:paraId="7FAD741C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I – Dos Instrumentos da Política Municipal de Habitação</w:t>
      </w:r>
    </w:p>
    <w:p w14:paraId="3C4C65A9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59E4D83D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São instrumentos operacionais da Política Municipal de Habitação aqueles voltados ao planejamento, financiamento, controle social e execução de suas ações, observando-se os princípios, diretrizes e objetivos estabelecidos nesta LO.</w:t>
      </w:r>
    </w:p>
    <w:p w14:paraId="3B487FD1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Parágrafo único. Os instrumentos previstos neste Capítulo constituem a base institucional e estratégica para a implementação efetiva da Política Municipal de Habitação, sendo passíveis de regulamentação complementar pela Administração Pública Municipal.</w:t>
      </w:r>
    </w:p>
    <w:p w14:paraId="675C3EBA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58DF628D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II – Do Cadastro Municipal de Demanda Habitacional</w:t>
      </w:r>
    </w:p>
    <w:p w14:paraId="0CD4942A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5244DA09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Fica instituído o Cadastro Municipal de Demanda Habitacional como instrumento permanente da Política Municipal de Habitação, com a finalidade de identificar, qualificar e quantificar a demanda por moradia no Município, subsidiar o planejamento, a formulação de políticas públicas e a implementação dos programas habitacionais.</w:t>
      </w:r>
    </w:p>
    <w:p w14:paraId="366D6FC0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1º. O Cadastro deverá contemplar dados socioeconômicos, familiares, locacionais e habitacionais das pessoas e núcleos familiares inscritos, observados os critérios definidos em regulamento.</w:t>
      </w:r>
    </w:p>
    <w:p w14:paraId="1F64E27B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2º. O Cadastro será mantido atualizado de forma contínua e articulado, sempre que possível, com os sistemas de informação habitacional estaduais e federais.</w:t>
      </w:r>
    </w:p>
    <w:p w14:paraId="7C515854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§ 3º. O tratamento das informações cadastradas deverá observar as disposições da Lei Federal nº 13.709/2018 - Lei Geral de Proteção de Dados ou outra que venha a atualizá-la ou substituí-la.</w:t>
      </w:r>
    </w:p>
    <w:p w14:paraId="57B691F0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4º. A inscrição no Cadastro Municipal de Demanda Habitacional não garante, por si só, o acesso aos programas habitacionais, devendo os critérios de seleção e priorização serem definidos por ato normativo próprio, com base em diretrizes do Conselho Municipal de Habitação.</w:t>
      </w:r>
    </w:p>
    <w:p w14:paraId="1209951C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14A9FC63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III – Do Plano Setorial Municipal de Habitação</w:t>
      </w:r>
    </w:p>
    <w:p w14:paraId="584411B1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4667A830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O Plano Setorial Municipal de Habitação é o instrumento orientador da atuação da Administração Pública Municipal no campo da habitação, estabelecendo diretrizes, metas, prioridades, programas e ações para a promoção do direito à moradia no Município da Estância Turística de Holambra.</w:t>
      </w:r>
    </w:p>
    <w:p w14:paraId="11AC2111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O Plano Setorial Municipal de Habitação terá caráter estratégico, plurianual e intersetorial, devendo estar articulado ao Plano Diretor, ao Plano Plurianual e às demais políticas públicas de desenvolvimento urbano, econômico, social e ambiental.</w:t>
      </w:r>
    </w:p>
    <w:p w14:paraId="137D44AC" w14:textId="77777777" w:rsidR="00D17F9D" w:rsidRPr="00D17F9D" w:rsidRDefault="00D17F9D" w:rsidP="00D17F9D">
      <w:pPr>
        <w:pStyle w:val="Artigo"/>
        <w:rPr>
          <w:rFonts w:ascii="Arial" w:hAnsi="Arial" w:cs="Arial"/>
        </w:rPr>
      </w:pPr>
      <w:r w:rsidRPr="00D17F9D">
        <w:rPr>
          <w:rFonts w:ascii="Arial" w:hAnsi="Arial" w:cs="Arial"/>
        </w:rPr>
        <w:t>O Plano Setorial Municipal de Habitação será elaborado, implementado, monitorado e avaliado com a participação do Conselho Municipal de Habitação, assegurando-se a ampla participação da sociedade civil em todas as suas etapas.</w:t>
      </w:r>
    </w:p>
    <w:p w14:paraId="47C03680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conteúdo mínimo do Plano Setorial Municipal de Habitação incluirá:</w:t>
      </w:r>
    </w:p>
    <w:p w14:paraId="33F7B94C" w14:textId="77777777" w:rsidR="00D17F9D" w:rsidRPr="00D17F9D" w:rsidRDefault="00D17F9D" w:rsidP="00D17F9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Diagnóstico da realidade habitacional do Município, com identificação do déficit quantitativo e qualitativo de moradias e das condições de habitabilidade;</w:t>
      </w:r>
    </w:p>
    <w:p w14:paraId="418C688F" w14:textId="260C4855" w:rsidR="00D17F9D" w:rsidRPr="00D17F9D" w:rsidRDefault="00D17F9D" w:rsidP="00D17F9D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D17F9D">
        <w:rPr>
          <w:rFonts w:ascii="Arial" w:hAnsi="Arial" w:cs="Arial"/>
        </w:rPr>
        <w:t xml:space="preserve">Através da instituição, manutenção e atualização continuada do Cadastro Municipal de Demanda Habitacional, como base de dados permanente para </w:t>
      </w:r>
      <w:r w:rsidRPr="00D17F9D">
        <w:rPr>
          <w:rFonts w:ascii="Arial" w:hAnsi="Arial" w:cs="Arial"/>
        </w:rPr>
        <w:lastRenderedPageBreak/>
        <w:t>levantamento das necessidades habitacionais e definição de critérios de atendimento.</w:t>
      </w:r>
    </w:p>
    <w:p w14:paraId="42940885" w14:textId="77777777" w:rsidR="00D17F9D" w:rsidRPr="00D17F9D" w:rsidRDefault="00D17F9D" w:rsidP="00D17F9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Identificação das áreas prioritárias de intervenção habitacional;</w:t>
      </w:r>
    </w:p>
    <w:p w14:paraId="4417B699" w14:textId="77777777" w:rsidR="00D17F9D" w:rsidRPr="00D17F9D" w:rsidRDefault="00D17F9D" w:rsidP="00D17F9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Definição de metas, prazos, indicadores de acompanhamento e mecanismos de avaliação;</w:t>
      </w:r>
    </w:p>
    <w:p w14:paraId="5CC4F514" w14:textId="77777777" w:rsidR="00D17F9D" w:rsidRPr="00D17F9D" w:rsidRDefault="00D17F9D" w:rsidP="00D17F9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Estimativa de fontes de financiamento e estratégias de viabilidade econômica e institucional;</w:t>
      </w:r>
    </w:p>
    <w:p w14:paraId="0AFAF6E1" w14:textId="77777777" w:rsidR="00D17F9D" w:rsidRPr="00D17F9D" w:rsidRDefault="00D17F9D" w:rsidP="00D17F9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ações, projetos e políticas para produção habitacional, regularização fundiária, melhoria de moradias, locação social e outras modalidades de acesso à moradia;</w:t>
      </w:r>
    </w:p>
    <w:p w14:paraId="58DDDDD1" w14:textId="77777777" w:rsidR="00D17F9D" w:rsidRPr="00D17F9D" w:rsidRDefault="00D17F9D" w:rsidP="00D17F9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Estratégias de articulação com os demais níveis de governo, com o setor privado e com entidades sociais.</w:t>
      </w:r>
    </w:p>
    <w:p w14:paraId="52939116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Plano Setorial Municipal de Habitação deverá ser revisto, no mínimo, a cada quatro anos, ou a qualquer tempo por deliberação do Conselho Municipal de Habitação, e aprovado mediante decreto da Administração Pública Municipal.</w:t>
      </w:r>
    </w:p>
    <w:p w14:paraId="0231E3FE" w14:textId="77777777" w:rsidR="00D17F9D" w:rsidRPr="00D17F9D" w:rsidRDefault="00D17F9D" w:rsidP="00D17F9D">
      <w:pPr>
        <w:pStyle w:val="Artigo10"/>
        <w:numPr>
          <w:ilvl w:val="0"/>
          <w:numId w:val="0"/>
        </w:numPr>
        <w:rPr>
          <w:rFonts w:ascii="Arial" w:hAnsi="Arial" w:cs="Arial"/>
        </w:rPr>
      </w:pPr>
    </w:p>
    <w:p w14:paraId="4F04496F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IV – Do Fundo Municipal de Habitação</w:t>
      </w:r>
    </w:p>
    <w:p w14:paraId="02AF9733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Fica instituído o Fundo Municipal de Habitação – FMH, de natureza contábil, vinculado à autoridade responsável pela política habitacional da Administração Pública Municipal, com a finalidade de captar, centralizar, gerir e aplicar recursos destinados ao financiamento de programas, projetos e ações habitacionais de interesse social.</w:t>
      </w:r>
    </w:p>
    <w:p w14:paraId="25484164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Fundo Municipal de Habitação destina-se, prioritariamente, ao atendimento da população de baixa renda e em situação de vulnerabilidade social, observando as diretrizes da Política Municipal de Habitação e as deliberações do Conselho Municipal de Habitação.</w:t>
      </w:r>
    </w:p>
    <w:p w14:paraId="60016635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Constituem receitas do Fundo Municipal de Habitação:</w:t>
      </w:r>
    </w:p>
    <w:p w14:paraId="30BAD7AC" w14:textId="77777777" w:rsidR="00D17F9D" w:rsidRPr="00D17F9D" w:rsidRDefault="00D17F9D" w:rsidP="00D17F9D">
      <w:pPr>
        <w:pStyle w:val="PargrafodaLista"/>
        <w:numPr>
          <w:ilvl w:val="0"/>
          <w:numId w:val="7"/>
        </w:numPr>
        <w:tabs>
          <w:tab w:val="left" w:pos="284"/>
        </w:tabs>
        <w:ind w:left="0" w:firstLine="142"/>
        <w:rPr>
          <w:rFonts w:ascii="Arial" w:hAnsi="Arial" w:cs="Arial"/>
        </w:rPr>
      </w:pPr>
      <w:r w:rsidRPr="00D17F9D">
        <w:rPr>
          <w:rFonts w:ascii="Arial" w:hAnsi="Arial" w:cs="Arial"/>
        </w:rPr>
        <w:t>Dotações orçamentárias do Município, consignadas anualmente no orçamento municipal;</w:t>
      </w:r>
    </w:p>
    <w:p w14:paraId="0AF0A1DA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Transferências voluntárias e legais da União, do Estado ou de outros Municípios;</w:t>
      </w:r>
    </w:p>
    <w:p w14:paraId="4C7DDCCB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Recursos provenientes de convênios, acordos, contratos e parcerias com entidades públicas e privadas, nacionais ou internacionais;</w:t>
      </w:r>
    </w:p>
    <w:p w14:paraId="138C4538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Doações, contribuições, auxílios e legados de pessoas físicas ou jurídicas, públicas ou privadas;</w:t>
      </w:r>
    </w:p>
    <w:p w14:paraId="07483749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Receitas oriundas de financiamentos e empréstimos destinados à política habitacional;</w:t>
      </w:r>
    </w:p>
    <w:p w14:paraId="787D98FF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Rendimentos de aplicações financeiras dos recursos do próprio Fundo;</w:t>
      </w:r>
    </w:p>
    <w:p w14:paraId="056378A9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Percentual das receitas auferidas ao Fundo Municipal de Desenvolvimento Urbano;</w:t>
      </w:r>
    </w:p>
    <w:p w14:paraId="54188EFC" w14:textId="77777777" w:rsidR="00D17F9D" w:rsidRPr="00D17F9D" w:rsidRDefault="00D17F9D" w:rsidP="00D17F9D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Outras receitas que lhe forem destinadas.</w:t>
      </w:r>
    </w:p>
    <w:p w14:paraId="4D323E1A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Os recursos do Fundo Municipal de Habitação poderão ser aplicados em:</w:t>
      </w:r>
    </w:p>
    <w:p w14:paraId="1B853C25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Aquisição, produção, requalificação, reforma, ampliação ou locação de unidades habitacionais de interesse social;</w:t>
      </w:r>
    </w:p>
    <w:p w14:paraId="616122F8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Urbanização, regularização fundiária e ambiental de assentamentos precários ou informais;</w:t>
      </w:r>
    </w:p>
    <w:p w14:paraId="66876187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Produção de lotes urbanizados para fins habitacionais;</w:t>
      </w:r>
    </w:p>
    <w:p w14:paraId="72B56549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Implantação de infraestrutura urbana e equipamentos comunitários associados à habitação;</w:t>
      </w:r>
    </w:p>
    <w:p w14:paraId="33FB9B47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Apoio a programas de assistência técnica para construção e reforma de moradias de famílias de baixa renda, nos termos da legislação vigente;</w:t>
      </w:r>
    </w:p>
    <w:p w14:paraId="5680D313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Apoio à implantação de programas de locação social e outras modalidades alternativas de acesso à moradia;</w:t>
      </w:r>
    </w:p>
    <w:p w14:paraId="272E6967" w14:textId="77777777" w:rsidR="00D17F9D" w:rsidRPr="00D17F9D" w:rsidRDefault="00D17F9D" w:rsidP="00D17F9D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Outras ações previstas no Plano Setorial Municipal de Habitação, devidamente aprovadas pelo Conselho Municipal de Habitação.</w:t>
      </w:r>
    </w:p>
    <w:p w14:paraId="3A8E64AB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Fundo Municipal de Habitação será gerido por órgão designado pela Administração Pública Municipal, sob fiscalização e controle social do Conselho Municipal de Habitação, nos termos estabelecidos em regulamento.</w:t>
      </w:r>
    </w:p>
    <w:p w14:paraId="03B8BC35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 xml:space="preserve">A movimentação dos recursos do Fundo Municipal de Habitação observará os princípios da legalidade, impessoalidade, moralidade, publicidade </w:t>
      </w:r>
      <w:r w:rsidRPr="00D17F9D">
        <w:rPr>
          <w:rFonts w:ascii="Arial" w:hAnsi="Arial" w:cs="Arial"/>
        </w:rPr>
        <w:lastRenderedPageBreak/>
        <w:t>e eficiência, e será realizada mediante plano de aplicação aprovado anualmente pelo Conselho Municipal de Habitação.</w:t>
      </w:r>
    </w:p>
    <w:p w14:paraId="733B58EB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V – Do Conselho Municipal de Habitação</w:t>
      </w:r>
    </w:p>
    <w:p w14:paraId="1324E5D0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Fica instituído o Conselho Municipal de Habitação – CMH, órgão colegiado, de caráter deliberativo, consultivo e fiscalizador, com composição paritária entre representantes do poder público e da sociedade civil, vinculado à autoridade responsável pela política habitacional da Administração Pública Municipal.</w:t>
      </w:r>
    </w:p>
    <w:p w14:paraId="09911E0E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Compete ao Conselho Municipal de Habitação:</w:t>
      </w:r>
    </w:p>
    <w:p w14:paraId="1F3AA91F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Propor, aprovar e acompanhar as diretrizes, metas, programas e ações da Política Municipal de Habitação;</w:t>
      </w:r>
    </w:p>
    <w:p w14:paraId="2876E048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Deliberar sobre a alocação de recursos do Fundo Municipal de Habitação e aprovar seus planos de aplicação;</w:t>
      </w:r>
    </w:p>
    <w:p w14:paraId="7386F1B6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Aprovar as prestações de contas e demonstrativos financeiros do Fundo Municipal de Habitação;</w:t>
      </w:r>
    </w:p>
    <w:p w14:paraId="1AF3BEDE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Acompanhar e fiscalizar a implementação do Plano Setorial Municipal de Habitação e dos programas habitacionais de interesse social;</w:t>
      </w:r>
    </w:p>
    <w:p w14:paraId="13EE05EB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Estabelecer critérios para priorização do atendimento habitacional;</w:t>
      </w:r>
    </w:p>
    <w:p w14:paraId="2D65D5D9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Aprovar normas operacionais complementares aos programas habitacionais;</w:t>
      </w:r>
    </w:p>
    <w:p w14:paraId="36C9B8A1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Propor ajustes e medidas corretivas na execução da política habitacional;</w:t>
      </w:r>
    </w:p>
    <w:p w14:paraId="73BCC74F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Promover a articulação entre diferentes segmentos sociais e da Administração Pública Municipal;</w:t>
      </w:r>
    </w:p>
    <w:p w14:paraId="2C372533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Elaborar e aprovar seu regimento interno;</w:t>
      </w:r>
    </w:p>
    <w:p w14:paraId="5A9AE6F9" w14:textId="77777777" w:rsidR="00D17F9D" w:rsidRPr="00D17F9D" w:rsidRDefault="00D17F9D" w:rsidP="00D17F9D">
      <w:pPr>
        <w:pStyle w:val="PargrafodaLista"/>
        <w:numPr>
          <w:ilvl w:val="0"/>
          <w:numId w:val="9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Exercer outras competências previstas em regulamento ou norma complementar.</w:t>
      </w:r>
    </w:p>
    <w:p w14:paraId="039BC94F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Conselho Municipal de Habitação será composto por representantes dos seguintes segmentos:</w:t>
      </w:r>
    </w:p>
    <w:p w14:paraId="0A868FEE" w14:textId="77777777" w:rsidR="00D17F9D" w:rsidRPr="00D17F9D" w:rsidRDefault="00D17F9D" w:rsidP="00D17F9D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Administração Pública Municipal:</w:t>
      </w:r>
    </w:p>
    <w:p w14:paraId="674C41B9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da política municipal de habitação;</w:t>
      </w:r>
    </w:p>
    <w:p w14:paraId="7382531C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Um representante da política municipal de planejamento urbano;</w:t>
      </w:r>
    </w:p>
    <w:p w14:paraId="69BB5181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da política municipal de assistência social;</w:t>
      </w:r>
    </w:p>
    <w:p w14:paraId="5232B746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da política municipal de saneamento básico;</w:t>
      </w:r>
    </w:p>
    <w:p w14:paraId="7EADEA78" w14:textId="77777777" w:rsidR="00D17F9D" w:rsidRPr="00D17F9D" w:rsidRDefault="00D17F9D" w:rsidP="00CE164B">
      <w:pPr>
        <w:pStyle w:val="PargrafodaLista"/>
        <w:numPr>
          <w:ilvl w:val="0"/>
          <w:numId w:val="10"/>
        </w:numPr>
        <w:ind w:left="142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Representação técnica e institucional:</w:t>
      </w:r>
    </w:p>
    <w:p w14:paraId="7108E8F7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do Conselho Municipal de Desenvolvimento Urbano;</w:t>
      </w:r>
    </w:p>
    <w:p w14:paraId="7DDE30CE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do Conselho Municipal de Desenvolvimento Rural;</w:t>
      </w:r>
    </w:p>
    <w:p w14:paraId="50035063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do mercado imobiliário;</w:t>
      </w:r>
    </w:p>
    <w:p w14:paraId="2A2FC20E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Um representante de profissionais da área de arquitetura, urbanismo ou engenharia;</w:t>
      </w:r>
    </w:p>
    <w:p w14:paraId="05344FA2" w14:textId="77777777" w:rsidR="00D17F9D" w:rsidRPr="00D17F9D" w:rsidRDefault="00D17F9D" w:rsidP="00CE164B">
      <w:pPr>
        <w:pStyle w:val="PargrafodaLista"/>
        <w:numPr>
          <w:ilvl w:val="0"/>
          <w:numId w:val="10"/>
        </w:numPr>
        <w:ind w:left="284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Sociedade Civil:</w:t>
      </w:r>
    </w:p>
    <w:p w14:paraId="42DFA456" w14:textId="77777777" w:rsidR="00D17F9D" w:rsidRPr="00D17F9D" w:rsidRDefault="00D17F9D" w:rsidP="00CE164B">
      <w:pPr>
        <w:pStyle w:val="PargrafodaLista"/>
        <w:numPr>
          <w:ilvl w:val="1"/>
          <w:numId w:val="10"/>
        </w:numPr>
        <w:ind w:left="0" w:firstLine="0"/>
        <w:rPr>
          <w:rFonts w:ascii="Arial" w:hAnsi="Arial" w:cs="Arial"/>
        </w:rPr>
      </w:pPr>
      <w:r w:rsidRPr="00D17F9D">
        <w:rPr>
          <w:rFonts w:ascii="Arial" w:hAnsi="Arial" w:cs="Arial"/>
        </w:rPr>
        <w:t>Quatro representantes de movimentos sociais ou organizações da sociedade civil atuantes na área de habitação.</w:t>
      </w:r>
    </w:p>
    <w:p w14:paraId="18B050B6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Os membros do Conselho Municipal de Habitação serão nomeados por ato do Prefeito, mediante indicação das entidades representadas, para mandato de dois anos, permitida uma recondução.</w:t>
      </w:r>
    </w:p>
    <w:p w14:paraId="3F1504F3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1º. A ausência de indicação no prazo de 15 (quinze) dias após a solicitação formal poderá ser interpretada como renúncia à participação.</w:t>
      </w:r>
    </w:p>
    <w:p w14:paraId="246BA5E9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2º. Os representantes da Administração Pública Municipal serão indicados diretamente pelo Prefeito Municipal.</w:t>
      </w:r>
    </w:p>
    <w:p w14:paraId="50C8A7FF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3º O exercício da função de conselheiro será considerado serviço público relevante e não será remunerado.</w:t>
      </w:r>
    </w:p>
    <w:p w14:paraId="3CE1BEFF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Conselho Municipal de Habitação deliberará em sessões plenárias ordinárias, realizadas ao menos trimestralmente, e em sessões extraordinárias, sempre que necessário, convocadas por seu Presidente ou por requerimento da maioria de seus membros.</w:t>
      </w:r>
    </w:p>
    <w:p w14:paraId="3B6922EA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1º. As sessões deliberativas serão instaladas com a presença da maioria absoluta dos membros.</w:t>
      </w:r>
    </w:p>
    <w:p w14:paraId="4B6D4286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t>§ 2º. As decisões do Conselho serão tomadas por maioria simples de votos e formalizadas por meio de resoluções.</w:t>
      </w:r>
    </w:p>
    <w:p w14:paraId="399DEE84" w14:textId="77777777" w:rsidR="00D17F9D" w:rsidRPr="00D17F9D" w:rsidRDefault="00D17F9D" w:rsidP="00D17F9D">
      <w:pPr>
        <w:ind w:hanging="2"/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§ 3º. As resoluções deverão ser publicadas e amplamente divulgadas por meio oficial e em canais públicos de comunicação.</w:t>
      </w:r>
    </w:p>
    <w:p w14:paraId="7AD3FDA4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A Administração Pública Municipal garantirá os meios administrativos, técnicos e operacionais necessários ao pleno funcionamento do Conselho Municipal de Habitação.</w:t>
      </w:r>
    </w:p>
    <w:p w14:paraId="31B6658E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Conselho poderá instituir comissões temáticas ou grupos técnicos, bem como convidar especialistas ou representantes de outras instituições, públicas ou privadas, para colaborar com suas atividades, emitir pareceres e desenvolver estudos.</w:t>
      </w:r>
    </w:p>
    <w:p w14:paraId="3D62BE7F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Conselho Municipal de Habitação deverá elaborar e aprovar seu regimento interno no prazo de 60 (sessenta) dias após sua constituição.</w:t>
      </w:r>
    </w:p>
    <w:p w14:paraId="1032D3AC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08EF368B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Seção V – Das Ações e Programas Habitacionais</w:t>
      </w:r>
    </w:p>
    <w:p w14:paraId="5C0C29CB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Subseção I – Das Ações da Política Municipal de Habitação</w:t>
      </w:r>
    </w:p>
    <w:p w14:paraId="59AC2C88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3D354ACD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A Política Municipal de Habitação será executada por meio de ações e programas voltados à ampliação do acesso à moradia digna, com foco prioritário na população de baixa renda, observando os seguintes eixos de atuação:</w:t>
      </w:r>
    </w:p>
    <w:p w14:paraId="40837BCE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Produção e aquisição de unidades habitacionais de interesse social;</w:t>
      </w:r>
    </w:p>
    <w:p w14:paraId="0F3165CE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Regularização fundiária e edilícia de assentamentos consolidados;</w:t>
      </w:r>
    </w:p>
    <w:p w14:paraId="751B4CC0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Melhoria habitacional e requalificação de moradias existentes;</w:t>
      </w:r>
    </w:p>
    <w:p w14:paraId="335C5571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Locação social e outras modalidades alternativas de acesso à moradia;</w:t>
      </w:r>
    </w:p>
    <w:p w14:paraId="784694E8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Assistência técnica para construção, reforma e autogestão de moradias;</w:t>
      </w:r>
    </w:p>
    <w:p w14:paraId="46CB85B6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Urbanização e provisão de infraestrutura em áreas de interesse social;</w:t>
      </w:r>
    </w:p>
    <w:p w14:paraId="08D573A8" w14:textId="77777777" w:rsidR="00D17F9D" w:rsidRPr="00D17F9D" w:rsidRDefault="00D17F9D" w:rsidP="00D17F9D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Produção de lotes urbanizados com finalidade habitacional.</w:t>
      </w:r>
    </w:p>
    <w:p w14:paraId="7FC2B404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 xml:space="preserve">As ações previstas nesta LO poderão ser executadas diretamente pela Administração Pública Municipal ou por meio de parcerias com entes públicos, </w:t>
      </w:r>
      <w:r w:rsidRPr="00D17F9D">
        <w:rPr>
          <w:rFonts w:ascii="Arial" w:hAnsi="Arial" w:cs="Arial"/>
        </w:rPr>
        <w:lastRenderedPageBreak/>
        <w:t>privados ou entidades da sociedade civil, mediante instrumentos jurídicos apropriados, aprovados pelo Conselho Municipal de Habitação.</w:t>
      </w:r>
    </w:p>
    <w:p w14:paraId="6B81024C" w14:textId="77777777" w:rsidR="00D17F9D" w:rsidRPr="00D17F9D" w:rsidRDefault="00D17F9D" w:rsidP="00D17F9D">
      <w:pPr>
        <w:ind w:hanging="2"/>
        <w:rPr>
          <w:rFonts w:ascii="Arial" w:hAnsi="Arial" w:cs="Arial"/>
        </w:rPr>
      </w:pPr>
    </w:p>
    <w:p w14:paraId="4F421FC2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Subseção II – Dos Programas Habitacionais Específicos</w:t>
      </w:r>
    </w:p>
    <w:p w14:paraId="36C942F3" w14:textId="77777777" w:rsidR="00D17F9D" w:rsidRPr="00D17F9D" w:rsidRDefault="00D17F9D" w:rsidP="00D17F9D">
      <w:pPr>
        <w:ind w:hanging="2"/>
        <w:rPr>
          <w:rFonts w:ascii="Arial" w:hAnsi="Arial" w:cs="Arial"/>
          <w:b/>
          <w:bCs/>
        </w:rPr>
      </w:pPr>
    </w:p>
    <w:p w14:paraId="621A2636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São reconhecidos como programas específicos no âmbito da Política Municipal de Habitação:</w:t>
      </w:r>
    </w:p>
    <w:p w14:paraId="2038DFD4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Produção Habitacional de Interesse Social;</w:t>
      </w:r>
    </w:p>
    <w:p w14:paraId="40EF854F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Regularização Fundiária e Edilícia;</w:t>
      </w:r>
    </w:p>
    <w:p w14:paraId="3FD9F181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Assistência Técnica;</w:t>
      </w:r>
    </w:p>
    <w:p w14:paraId="2712B87B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Melhoria Habitacional:</w:t>
      </w:r>
    </w:p>
    <w:p w14:paraId="143C1FA0" w14:textId="77777777" w:rsidR="00D17F9D" w:rsidRPr="00D17F9D" w:rsidRDefault="00D17F9D" w:rsidP="00CE164B">
      <w:pPr>
        <w:pStyle w:val="PargrafodaLista"/>
        <w:numPr>
          <w:ilvl w:val="1"/>
          <w:numId w:val="12"/>
        </w:numPr>
        <w:ind w:left="426"/>
        <w:rPr>
          <w:rFonts w:ascii="Arial" w:hAnsi="Arial" w:cs="Arial"/>
        </w:rPr>
      </w:pPr>
      <w:r w:rsidRPr="00D17F9D">
        <w:rPr>
          <w:rFonts w:ascii="Arial" w:hAnsi="Arial" w:cs="Arial"/>
        </w:rPr>
        <w:t>Subprograma de Banco de Materiais;</w:t>
      </w:r>
    </w:p>
    <w:p w14:paraId="619607E7" w14:textId="77777777" w:rsidR="00D17F9D" w:rsidRPr="00D17F9D" w:rsidRDefault="00D17F9D" w:rsidP="00CE164B">
      <w:pPr>
        <w:pStyle w:val="PargrafodaLista"/>
        <w:numPr>
          <w:ilvl w:val="1"/>
          <w:numId w:val="12"/>
        </w:numPr>
        <w:ind w:left="426"/>
        <w:rPr>
          <w:rFonts w:ascii="Arial" w:hAnsi="Arial" w:cs="Arial"/>
        </w:rPr>
      </w:pPr>
      <w:r w:rsidRPr="00D17F9D">
        <w:rPr>
          <w:rFonts w:ascii="Arial" w:hAnsi="Arial" w:cs="Arial"/>
        </w:rPr>
        <w:t>Subprograma de Microcrédito para Melhoria Habitacional;</w:t>
      </w:r>
    </w:p>
    <w:p w14:paraId="53BA0D65" w14:textId="77777777" w:rsidR="00D17F9D" w:rsidRPr="00D17F9D" w:rsidRDefault="00D17F9D" w:rsidP="00CE164B">
      <w:pPr>
        <w:pStyle w:val="PargrafodaLista"/>
        <w:numPr>
          <w:ilvl w:val="1"/>
          <w:numId w:val="12"/>
        </w:numPr>
        <w:ind w:left="426"/>
        <w:rPr>
          <w:rFonts w:ascii="Arial" w:hAnsi="Arial" w:cs="Arial"/>
        </w:rPr>
      </w:pPr>
      <w:r w:rsidRPr="00D17F9D">
        <w:rPr>
          <w:rFonts w:ascii="Arial" w:hAnsi="Arial" w:cs="Arial"/>
        </w:rPr>
        <w:t>Subprograma Capacitação para Construção Autogerida;</w:t>
      </w:r>
    </w:p>
    <w:p w14:paraId="23A0CBC9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Locação Social;</w:t>
      </w:r>
    </w:p>
    <w:p w14:paraId="6AB6ADAB" w14:textId="77777777" w:rsidR="00D17F9D" w:rsidRPr="00D17F9D" w:rsidRDefault="00D17F9D" w:rsidP="00EF59D0">
      <w:pPr>
        <w:pStyle w:val="PargrafodaLista"/>
        <w:numPr>
          <w:ilvl w:val="0"/>
          <w:numId w:val="12"/>
        </w:numPr>
        <w:ind w:hanging="434"/>
        <w:rPr>
          <w:rFonts w:ascii="Arial" w:hAnsi="Arial" w:cs="Arial"/>
        </w:rPr>
      </w:pPr>
      <w:r w:rsidRPr="00D17F9D">
        <w:rPr>
          <w:rFonts w:ascii="Arial" w:hAnsi="Arial" w:cs="Arial"/>
        </w:rPr>
        <w:t>Programa de Parcerias com Entidades;</w:t>
      </w:r>
    </w:p>
    <w:p w14:paraId="7D31562E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Parcerias Público-Privadas;</w:t>
      </w:r>
    </w:p>
    <w:p w14:paraId="68C4137A" w14:textId="77777777" w:rsidR="00D17F9D" w:rsidRPr="00D17F9D" w:rsidRDefault="00D17F9D" w:rsidP="00D17F9D">
      <w:pPr>
        <w:pStyle w:val="PargrafodaLista"/>
        <w:numPr>
          <w:ilvl w:val="0"/>
          <w:numId w:val="12"/>
        </w:numPr>
        <w:rPr>
          <w:rFonts w:ascii="Arial" w:hAnsi="Arial" w:cs="Arial"/>
        </w:rPr>
      </w:pPr>
      <w:r w:rsidRPr="00D17F9D">
        <w:rPr>
          <w:rFonts w:ascii="Arial" w:hAnsi="Arial" w:cs="Arial"/>
        </w:rPr>
        <w:t>Programa de Crédito Habitacional.</w:t>
      </w:r>
    </w:p>
    <w:p w14:paraId="452C1765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Os programas mencionados no artigo anterior deverão constar do Plano Setorial Municipal de Habitação, com previsão de metas, critérios de acesso, público-alvo e formas de financiamento.</w:t>
      </w:r>
    </w:p>
    <w:p w14:paraId="478A62FF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Poderão ser criados novos programas ou subprogramas habitacionais, mediante aprovação do Conselho Municipal de Habitação, desde que compatíveis com os objetivos e diretrizes da presente LO.</w:t>
      </w:r>
    </w:p>
    <w:p w14:paraId="23049A4B" w14:textId="77777777" w:rsidR="00D17F9D" w:rsidRPr="00D17F9D" w:rsidRDefault="00D17F9D" w:rsidP="00D17F9D">
      <w:pPr>
        <w:rPr>
          <w:rFonts w:ascii="Arial" w:hAnsi="Arial" w:cs="Arial"/>
          <w:b/>
          <w:bCs/>
        </w:rPr>
      </w:pPr>
      <w:r w:rsidRPr="00D17F9D">
        <w:rPr>
          <w:rFonts w:ascii="Arial" w:hAnsi="Arial" w:cs="Arial"/>
          <w:b/>
          <w:bCs/>
        </w:rPr>
        <w:t>CAPÍTULO III – DAS DISPOSIÇÕES FINAIS E TRANSITÓRIAS</w:t>
      </w:r>
    </w:p>
    <w:p w14:paraId="4DF72047" w14:textId="41D3050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A presente L</w:t>
      </w:r>
      <w:r w:rsidR="00CE164B">
        <w:rPr>
          <w:rFonts w:ascii="Arial" w:hAnsi="Arial" w:cs="Arial"/>
        </w:rPr>
        <w:t>O</w:t>
      </w:r>
      <w:r w:rsidRPr="00D17F9D">
        <w:rPr>
          <w:rFonts w:ascii="Arial" w:hAnsi="Arial" w:cs="Arial"/>
        </w:rPr>
        <w:t xml:space="preserve"> será implementada em consonância com as diretrizes e objetivos da Política Nacional de Habitação, do Sistema Nacional de Habitação de Interesse Social e do Plano Nacional de Habitação.</w:t>
      </w:r>
    </w:p>
    <w:p w14:paraId="1C9E3431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lastRenderedPageBreak/>
        <w:t>Os programas, ações e instrumentos previstos nesta LO serão regulamentados por atos da Administração Pública Municipal, no prazo de até 180 (cento e oitenta) dias, contados da data de sua publicação.</w:t>
      </w:r>
    </w:p>
    <w:p w14:paraId="7C44F199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As despesas decorrentes da execução desta LO correrão por conta das dotações orçamentárias próprias, suplementadas se necessário.</w:t>
      </w:r>
    </w:p>
    <w:p w14:paraId="7BF56474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Conselho Municipal de Habitação deverá ser instalado no prazo de até 90 (noventa) dias a contar da publicação desta LO, mediante ato do Prefeito Municipal.</w:t>
      </w:r>
    </w:p>
    <w:p w14:paraId="101BA94F" w14:textId="77777777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O Plano Setorial Municipal de Habitação deverá ser elaborado ou revisado no prazo de até 180 (cento e oitenta) dias, contados da instalação do Conselho Municipal de Habitação, respeitados os princípios da gestão democrática e da participação social.</w:t>
      </w:r>
    </w:p>
    <w:p w14:paraId="103AF639" w14:textId="77777777" w:rsidR="00D17F9D" w:rsidRPr="00D17F9D" w:rsidRDefault="00D17F9D" w:rsidP="00D17F9D">
      <w:pPr>
        <w:pStyle w:val="Artigo10"/>
        <w:rPr>
          <w:rFonts w:ascii="Arial" w:hAnsi="Arial" w:cs="Arial"/>
          <w:w w:val="105"/>
        </w:rPr>
      </w:pPr>
      <w:r w:rsidRPr="00D17F9D">
        <w:rPr>
          <w:rFonts w:ascii="Arial" w:hAnsi="Arial" w:cs="Arial"/>
          <w:w w:val="105"/>
        </w:rPr>
        <w:t>Ficam revogadas as seguintes leis municipais:</w:t>
      </w:r>
    </w:p>
    <w:p w14:paraId="410496DD" w14:textId="77777777" w:rsidR="00D17F9D" w:rsidRPr="00D17F9D" w:rsidRDefault="00D17F9D" w:rsidP="00D17F9D">
      <w:pPr>
        <w:pStyle w:val="PargrafodaLista"/>
        <w:numPr>
          <w:ilvl w:val="0"/>
          <w:numId w:val="13"/>
        </w:numPr>
        <w:rPr>
          <w:rFonts w:ascii="Arial" w:hAnsi="Arial" w:cs="Arial"/>
          <w:w w:val="105"/>
        </w:rPr>
      </w:pPr>
      <w:r w:rsidRPr="00D17F9D">
        <w:rPr>
          <w:rFonts w:ascii="Arial" w:hAnsi="Arial" w:cs="Arial"/>
          <w:w w:val="105"/>
        </w:rPr>
        <w:t>Lei Ordinária n. 732 de 31 de maio de 2011;</w:t>
      </w:r>
    </w:p>
    <w:p w14:paraId="681C71ED" w14:textId="77777777" w:rsidR="00D17F9D" w:rsidRPr="00D17F9D" w:rsidRDefault="00D17F9D" w:rsidP="00D17F9D">
      <w:pPr>
        <w:pStyle w:val="PargrafodaLista"/>
        <w:numPr>
          <w:ilvl w:val="0"/>
          <w:numId w:val="13"/>
        </w:numPr>
        <w:rPr>
          <w:rFonts w:ascii="Arial" w:hAnsi="Arial" w:cs="Arial"/>
          <w:w w:val="105"/>
        </w:rPr>
      </w:pPr>
      <w:r w:rsidRPr="00D17F9D">
        <w:rPr>
          <w:rFonts w:ascii="Arial" w:hAnsi="Arial" w:cs="Arial"/>
          <w:w w:val="105"/>
        </w:rPr>
        <w:t>Lei Ordinária n. 328 de 14 de janeiro de 2000;</w:t>
      </w:r>
    </w:p>
    <w:p w14:paraId="264B828A" w14:textId="77777777" w:rsidR="00D17F9D" w:rsidRPr="00D17F9D" w:rsidRDefault="00D17F9D" w:rsidP="00D17F9D">
      <w:pPr>
        <w:pStyle w:val="PargrafodaLista"/>
        <w:numPr>
          <w:ilvl w:val="0"/>
          <w:numId w:val="13"/>
        </w:numPr>
        <w:rPr>
          <w:rFonts w:ascii="Arial" w:hAnsi="Arial" w:cs="Arial"/>
          <w:w w:val="105"/>
        </w:rPr>
      </w:pPr>
      <w:r w:rsidRPr="00D17F9D">
        <w:rPr>
          <w:rFonts w:ascii="Arial" w:hAnsi="Arial" w:cs="Arial"/>
          <w:w w:val="105"/>
        </w:rPr>
        <w:t>Lei Ordinária n. 327 de 14 de janeiro de 2000.</w:t>
      </w:r>
    </w:p>
    <w:p w14:paraId="39DBC21F" w14:textId="46FA509D" w:rsidR="00D17F9D" w:rsidRPr="00D17F9D" w:rsidRDefault="00D17F9D" w:rsidP="00D17F9D">
      <w:pPr>
        <w:pStyle w:val="Artigo10"/>
        <w:rPr>
          <w:rFonts w:ascii="Arial" w:hAnsi="Arial" w:cs="Arial"/>
        </w:rPr>
      </w:pPr>
      <w:r w:rsidRPr="00D17F9D">
        <w:rPr>
          <w:rFonts w:ascii="Arial" w:hAnsi="Arial" w:cs="Arial"/>
        </w:rPr>
        <w:t>Esta L</w:t>
      </w:r>
      <w:r>
        <w:rPr>
          <w:rFonts w:ascii="Arial" w:hAnsi="Arial" w:cs="Arial"/>
        </w:rPr>
        <w:t>ei</w:t>
      </w:r>
      <w:r w:rsidRPr="00D17F9D">
        <w:rPr>
          <w:rFonts w:ascii="Arial" w:hAnsi="Arial" w:cs="Arial"/>
        </w:rPr>
        <w:t xml:space="preserve"> entra em vigor na data de sua publicação, revogadas as disposições em contrário.</w:t>
      </w:r>
    </w:p>
    <w:p w14:paraId="3EB2FEDF" w14:textId="1122CB75" w:rsidR="00D17F9D" w:rsidRDefault="00CE164B" w:rsidP="00D17F9D">
      <w:pPr>
        <w:pStyle w:val="Artigo10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Holambra, 19 de agosto de 2025.</w:t>
      </w:r>
    </w:p>
    <w:p w14:paraId="0D36E8CE" w14:textId="77777777" w:rsidR="00CE164B" w:rsidRPr="00CE164B" w:rsidRDefault="00CE164B" w:rsidP="00CE164B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088037" w14:textId="77777777" w:rsidR="00CE164B" w:rsidRPr="00CE164B" w:rsidRDefault="00CE164B" w:rsidP="00CE164B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A2400D" w14:textId="5F76591B" w:rsidR="00CE164B" w:rsidRPr="00CE164B" w:rsidRDefault="00CE164B" w:rsidP="00CE164B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APARECIDO LOPES DA SILVA LIMA</w:t>
      </w:r>
    </w:p>
    <w:p w14:paraId="2CA2C715" w14:textId="6F9AE68F" w:rsidR="00CE164B" w:rsidRPr="00CE164B" w:rsidRDefault="00CE164B" w:rsidP="00CE164B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CE164B">
        <w:rPr>
          <w:rFonts w:ascii="Arial" w:hAnsi="Arial" w:cs="Arial"/>
          <w:b/>
          <w:bCs/>
        </w:rPr>
        <w:t>Presidente/Vereador</w:t>
      </w:r>
    </w:p>
    <w:p w14:paraId="640AE828" w14:textId="77777777" w:rsidR="00D17F9D" w:rsidRPr="00CE164B" w:rsidRDefault="00D17F9D" w:rsidP="00CE164B">
      <w:pPr>
        <w:pStyle w:val="Artigo10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D17F9D" w:rsidRPr="00CE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7A13" w14:textId="77777777" w:rsidR="00D17F9D" w:rsidRDefault="00D17F9D" w:rsidP="00D17F9D">
      <w:pPr>
        <w:spacing w:after="0" w:line="240" w:lineRule="auto"/>
      </w:pPr>
      <w:r>
        <w:separator/>
      </w:r>
    </w:p>
  </w:endnote>
  <w:endnote w:type="continuationSeparator" w:id="0">
    <w:p w14:paraId="570BB110" w14:textId="77777777" w:rsidR="00D17F9D" w:rsidRDefault="00D17F9D" w:rsidP="00D1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948798"/>
      <w:docPartObj>
        <w:docPartGallery w:val="Page Numbers (Bottom of Page)"/>
        <w:docPartUnique/>
      </w:docPartObj>
    </w:sdtPr>
    <w:sdtContent>
      <w:p w14:paraId="371069FE" w14:textId="251573DF" w:rsidR="00EF59D0" w:rsidRDefault="00EF59D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4DFEE" w14:textId="77777777" w:rsidR="00EF59D0" w:rsidRDefault="00EF59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5FAE" w14:textId="77777777" w:rsidR="00D17F9D" w:rsidRDefault="00D17F9D" w:rsidP="00D17F9D">
      <w:pPr>
        <w:spacing w:after="0" w:line="240" w:lineRule="auto"/>
      </w:pPr>
      <w:r>
        <w:separator/>
      </w:r>
    </w:p>
  </w:footnote>
  <w:footnote w:type="continuationSeparator" w:id="0">
    <w:p w14:paraId="61E5E021" w14:textId="77777777" w:rsidR="00D17F9D" w:rsidRDefault="00D17F9D" w:rsidP="00D1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F50A" w14:textId="77777777" w:rsidR="00D17F9D" w:rsidRDefault="00D17F9D">
    <w:pPr>
      <w:pStyle w:val="Cabealho"/>
    </w:pPr>
  </w:p>
  <w:p w14:paraId="44D57DFA" w14:textId="77777777" w:rsidR="00D17F9D" w:rsidRDefault="00D17F9D">
    <w:pPr>
      <w:pStyle w:val="Cabealho"/>
    </w:pPr>
  </w:p>
  <w:p w14:paraId="618B6AAD" w14:textId="77777777" w:rsidR="00D17F9D" w:rsidRDefault="00D17F9D">
    <w:pPr>
      <w:pStyle w:val="Cabealho"/>
    </w:pPr>
  </w:p>
  <w:p w14:paraId="54872C07" w14:textId="77777777" w:rsidR="00D17F9D" w:rsidRDefault="00D17F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461"/>
    <w:multiLevelType w:val="multilevel"/>
    <w:tmpl w:val="0A2C6461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A4524CF"/>
    <w:multiLevelType w:val="multilevel"/>
    <w:tmpl w:val="0A4524CF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1034A01"/>
    <w:multiLevelType w:val="multilevel"/>
    <w:tmpl w:val="11034A01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B443A84"/>
    <w:multiLevelType w:val="multilevel"/>
    <w:tmpl w:val="1B443A84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0D36609"/>
    <w:multiLevelType w:val="multilevel"/>
    <w:tmpl w:val="20D36609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7884571"/>
    <w:multiLevelType w:val="multilevel"/>
    <w:tmpl w:val="27884571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5897DDE"/>
    <w:multiLevelType w:val="multilevel"/>
    <w:tmpl w:val="35897DDE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48FD5B3E"/>
    <w:multiLevelType w:val="multilevel"/>
    <w:tmpl w:val="D4880A30"/>
    <w:lvl w:ilvl="0">
      <w:start w:val="1"/>
      <w:numFmt w:val="decimal"/>
      <w:pStyle w:val="Artigo"/>
      <w:lvlText w:val="Art %1º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E7D38"/>
    <w:multiLevelType w:val="multilevel"/>
    <w:tmpl w:val="4CAE7D38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6D720C0C"/>
    <w:multiLevelType w:val="multilevel"/>
    <w:tmpl w:val="6D720C0C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6E405B65"/>
    <w:multiLevelType w:val="multilevel"/>
    <w:tmpl w:val="6E405B65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76846A24"/>
    <w:multiLevelType w:val="multilevel"/>
    <w:tmpl w:val="678026B4"/>
    <w:lvl w:ilvl="0">
      <w:start w:val="10"/>
      <w:numFmt w:val="decimal"/>
      <w:pStyle w:val="Artigo10"/>
      <w:lvlText w:val="Art 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B0B0A"/>
    <w:multiLevelType w:val="multilevel"/>
    <w:tmpl w:val="798B0B0A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161237098">
    <w:abstractNumId w:val="7"/>
  </w:num>
  <w:num w:numId="2" w16cid:durableId="728771382">
    <w:abstractNumId w:val="11"/>
  </w:num>
  <w:num w:numId="3" w16cid:durableId="1321155179">
    <w:abstractNumId w:val="6"/>
  </w:num>
  <w:num w:numId="4" w16cid:durableId="790058172">
    <w:abstractNumId w:val="3"/>
  </w:num>
  <w:num w:numId="5" w16cid:durableId="1607231052">
    <w:abstractNumId w:val="12"/>
  </w:num>
  <w:num w:numId="6" w16cid:durableId="285817152">
    <w:abstractNumId w:val="4"/>
  </w:num>
  <w:num w:numId="7" w16cid:durableId="563760139">
    <w:abstractNumId w:val="2"/>
  </w:num>
  <w:num w:numId="8" w16cid:durableId="447284225">
    <w:abstractNumId w:val="1"/>
  </w:num>
  <w:num w:numId="9" w16cid:durableId="1335113576">
    <w:abstractNumId w:val="8"/>
  </w:num>
  <w:num w:numId="10" w16cid:durableId="542717839">
    <w:abstractNumId w:val="10"/>
  </w:num>
  <w:num w:numId="11" w16cid:durableId="957299464">
    <w:abstractNumId w:val="9"/>
  </w:num>
  <w:num w:numId="12" w16cid:durableId="1059934673">
    <w:abstractNumId w:val="0"/>
  </w:num>
  <w:num w:numId="13" w16cid:durableId="1297025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AD"/>
    <w:rsid w:val="00045B64"/>
    <w:rsid w:val="005C13A6"/>
    <w:rsid w:val="00797FAD"/>
    <w:rsid w:val="009472E3"/>
    <w:rsid w:val="00CE164B"/>
    <w:rsid w:val="00D17F9D"/>
    <w:rsid w:val="00EF59D0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58F"/>
  <w15:chartTrackingRefBased/>
  <w15:docId w15:val="{6FAD0252-FB81-44DD-A8DC-DEB5CE4D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9D"/>
    <w:pPr>
      <w:suppressAutoHyphens/>
      <w:spacing w:line="360" w:lineRule="auto"/>
      <w:jc w:val="both"/>
      <w:textAlignment w:val="top"/>
      <w:outlineLvl w:val="0"/>
    </w:pPr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7FAD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7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7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7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7F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F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F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7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7FA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797F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7F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F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7FAD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17F9D"/>
  </w:style>
  <w:style w:type="character" w:customStyle="1" w:styleId="CorpodetextoChar">
    <w:name w:val="Corpo de texto Char"/>
    <w:basedOn w:val="Fontepargpadro"/>
    <w:link w:val="Corpodetexto"/>
    <w:uiPriority w:val="1"/>
    <w:rsid w:val="00D17F9D"/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  <w:style w:type="paragraph" w:customStyle="1" w:styleId="Artigo">
    <w:name w:val="Artigo"/>
    <w:basedOn w:val="Normal"/>
    <w:link w:val="ArtigoChar"/>
    <w:qFormat/>
    <w:rsid w:val="00D17F9D"/>
    <w:pPr>
      <w:numPr>
        <w:numId w:val="1"/>
      </w:numPr>
      <w:ind w:left="0" w:firstLine="0"/>
    </w:pPr>
    <w:rPr>
      <w:rFonts w:cs="Calibri Light"/>
    </w:rPr>
  </w:style>
  <w:style w:type="character" w:customStyle="1" w:styleId="ArtigoChar">
    <w:name w:val="Artigo Char"/>
    <w:basedOn w:val="Fontepargpadro"/>
    <w:link w:val="Artigo"/>
    <w:qFormat/>
    <w:rsid w:val="00D17F9D"/>
    <w:rPr>
      <w:rFonts w:ascii="Calibri Light" w:eastAsia="Calibri" w:hAnsi="Calibri Light" w:cs="Calibri Light"/>
      <w:kern w:val="0"/>
      <w:position w:val="-1"/>
      <w:sz w:val="24"/>
      <w:szCs w:val="24"/>
      <w:lang w:eastAsia="pt-BR"/>
      <w14:ligatures w14:val="none"/>
    </w:rPr>
  </w:style>
  <w:style w:type="paragraph" w:customStyle="1" w:styleId="Artigo10">
    <w:name w:val="Artigo 10&gt;"/>
    <w:basedOn w:val="Normal"/>
    <w:link w:val="Artigo10Char"/>
    <w:qFormat/>
    <w:rsid w:val="00D17F9D"/>
    <w:pPr>
      <w:numPr>
        <w:numId w:val="2"/>
      </w:numPr>
      <w:ind w:left="0" w:firstLine="0"/>
    </w:pPr>
    <w:rPr>
      <w:rFonts w:cs="Calibri Light"/>
    </w:rPr>
  </w:style>
  <w:style w:type="character" w:customStyle="1" w:styleId="Artigo10Char">
    <w:name w:val="Artigo 10&gt; Char"/>
    <w:basedOn w:val="Fontepargpadro"/>
    <w:link w:val="Artigo10"/>
    <w:qFormat/>
    <w:rsid w:val="00D17F9D"/>
    <w:rPr>
      <w:rFonts w:ascii="Calibri Light" w:eastAsia="Calibri" w:hAnsi="Calibri Light" w:cs="Calibri Light"/>
      <w:kern w:val="0"/>
      <w:position w:val="-1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D17F9D"/>
  </w:style>
  <w:style w:type="character" w:customStyle="1" w:styleId="fontelaw">
    <w:name w:val="fonte_law"/>
    <w:basedOn w:val="Fontepargpadro"/>
    <w:qFormat/>
    <w:rsid w:val="00D17F9D"/>
  </w:style>
  <w:style w:type="paragraph" w:styleId="Cabealho">
    <w:name w:val="header"/>
    <w:basedOn w:val="Normal"/>
    <w:link w:val="CabealhoChar"/>
    <w:uiPriority w:val="99"/>
    <w:unhideWhenUsed/>
    <w:rsid w:val="00D1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F9D"/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F9D"/>
    <w:rPr>
      <w:rFonts w:ascii="Calibri Light" w:eastAsia="Calibri" w:hAnsi="Calibri Light" w:cs="Calibri"/>
      <w:kern w:val="0"/>
      <w:position w:val="-1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2601</Words>
  <Characters>14050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2025-08-19T12:17:00Z</dcterms:created>
  <dcterms:modified xsi:type="dcterms:W3CDTF">2025-08-19T12:39:00Z</dcterms:modified>
</cp:coreProperties>
</file>